
<file path=[Content_Types].xml><?xml version="1.0" encoding="utf-8"?>
<Types xmlns="http://schemas.openxmlformats.org/package/2006/content-types">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rPr>
          <w:rFonts w:ascii="Arial" w:hAnsi="Arial" w:eastAsia="Arial" w:cs="Arial"/>
          <w:sz w:val="40"/>
          <w:szCs w:val="40"/>
          <w:b w:val="1"/>
          <w:color w:val="000000"/>
        </w:rPr>
        <w:widowControl/>
        <w:jc w:val="left"/>
        <w:pStyle w:val="Title"/>
      </w:pPr>
      <w:r>
        <w:rPr>
          <w:rFonts w:ascii="Arial" w:hAnsi="Arial" w:eastAsia="Arial" w:cs="Arial"/>
          <w:sz w:val="40"/>
          <w:szCs w:val="40"/>
          <w:b w:val="1"/>
          <w:color w:val="000000"/>
        </w:rPr>
        <w:t>Support Document SD-01 - Concept Compression Map</w:t>
      </w:r>
    </w:p>
    <w:p>
      <w:pPr>
        <w:widowControl/>
        <w:rPr>
          <w:rFonts w:ascii="Arial" w:hAnsi="Arial" w:eastAsia="Arial" w:cs="Arial"/>
          <w:sz w:val="22"/>
          <w:szCs w:val="22"/>
        </w:rPr>
      </w:pPr>
      <w:r>
        <w:rPr>
          <w:rFonts w:ascii="Arial" w:hAnsi="Arial" w:eastAsia="Arial" w:cs="Arial"/>
          <w:sz w:val="22"/>
          <w:szCs w:val="22"/>
        </w:rPr>
        <w:t>Part 2 (2a-2b): Informational Architecture; Knowledge, Intelligence, and Observation | Issue 1</w:t>
      </w:r>
    </w:p>
    <w:tbl>
      <w:tblPr>
        <w:tblW w:type="auto" w:w="0"/>
        <w:jc w:val="center"/>
        <w:tblLook w:firstColumn="1" w:firstRow="1" w:lastColumn="0" w:lastRow="0" w:noHBand="0" w:noVBand="1" w:val="04A0"/>
        <w:tblBorders>
          <w:top w:val="single" w:sz="4" w:color="7F7F7F"/>
          <w:left w:val="single" w:sz="4" w:color="7F7F7F"/>
          <w:bottom w:val="single" w:sz="4" w:color="7F7F7F"/>
          <w:right w:val="single" w:sz="4" w:color="7F7F7F"/>
          <w:insideH w:val="single" w:sz="4" w:color="7F7F7F"/>
          <w:insideV w:val="single" w:sz="4" w:color="7F7F7F"/>
        </w:tblBorders>
      </w:tblPr>
      <w:tblGrid>
        <w:gridCol w:w="2232"/>
        <w:gridCol w:w="12024"/>
      </w:tblGrid>
      <w:tr>
        <w:trPr>
          <w:tblHeader w:val="1"/>
          <w:cantSplit/>
        </w:trPr>
        <w:tc>
          <w:tcPr>
            <w:tcW w:type="dxa" w:w="7272"/>
            <w:vAlign w:val="top"/>
            <w:shd w:fill="D9EAF7" w:val="clear"/>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pPr>
            <w:r>
              <w:rPr>
                <w:rFonts w:ascii="Arial" w:hAnsi="Arial" w:eastAsia="Arial" w:cs="Arial"/>
                <w:sz w:val="20"/>
                <w:szCs w:val="20"/>
                <w:b/>
              </w:rPr>
            </w:r>
            <w:r>
              <w:rPr>
                <w:rFonts w:ascii="Arial" w:hAnsi="Arial" w:eastAsia="Arial" w:cs="Arial"/>
                <w:sz w:val="20"/>
                <w:szCs w:val="20"/>
                <w:b/>
              </w:rPr>
              <w:t>Control field</w:t>
            </w:r>
          </w:p>
        </w:tc>
        <w:tc>
          <w:tcPr>
            <w:tcW w:type="dxa" w:w="7272"/>
            <w:vAlign w:val="top"/>
            <w:shd w:fill="D9EAF7" w:val="clear"/>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pPr>
            <w:r>
              <w:rPr>
                <w:rFonts w:ascii="Arial" w:hAnsi="Arial" w:eastAsia="Arial" w:cs="Arial"/>
                <w:sz w:val="20"/>
                <w:szCs w:val="20"/>
                <w:b/>
              </w:rPr>
            </w:r>
            <w:r>
              <w:rPr>
                <w:rFonts w:ascii="Arial" w:hAnsi="Arial" w:eastAsia="Arial" w:cs="Arial"/>
                <w:sz w:val="20"/>
                <w:szCs w:val="20"/>
                <w:b/>
              </w:rPr>
              <w:t>Value</w:t>
            </w:r>
          </w:p>
        </w:tc>
      </w:tr>
      <w:tr>
        <w:trPr>
          <w:cantSplit/>
        </w:trPr>
        <w:tc>
          <w:tcPr>
            <w:tcW w:type="dxa" w:w="7272"/>
            <w:vAlign w:val="top"/>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pPr>
            <w:r>
              <w:rPr>
                <w:rFonts w:ascii="Arial" w:hAnsi="Arial" w:eastAsia="Arial" w:cs="Arial"/>
                <w:sz w:val="20"/>
                <w:szCs w:val="20"/>
              </w:rPr>
            </w:r>
            <w:r>
              <w:rPr>
                <w:b/>
                <w:rFonts w:ascii="Arial" w:hAnsi="Arial" w:eastAsia="Arial" w:cs="Arial"/>
                <w:sz w:val="20"/>
                <w:szCs w:val="20"/>
              </w:rPr>
              <w:t>Document ID</w:t>
            </w:r>
          </w:p>
        </w:tc>
        <w:tc>
          <w:tcPr>
            <w:tcW w:type="dxa" w:w="7272"/>
            <w:vAlign w:val="top"/>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pPr>
            <w:r>
              <w:rPr>
                <w:rFonts w:ascii="Arial" w:hAnsi="Arial" w:eastAsia="Arial" w:cs="Arial"/>
                <w:sz w:val="20"/>
                <w:szCs w:val="20"/>
              </w:rPr>
            </w:r>
            <w:r>
              <w:rPr>
                <w:b w:val="0"/>
                <w:rFonts w:ascii="Arial" w:hAnsi="Arial" w:eastAsia="Arial" w:cs="Arial"/>
                <w:sz w:val="20"/>
                <w:szCs w:val="20"/>
              </w:rPr>
              <w:t>P2-2A2B-SD01-CONCEPT-COMPRESSION-MAP</w:t>
            </w:r>
          </w:p>
        </w:tc>
      </w:tr>
      <w:tr>
        <w:trPr>
          <w:cantSplit/>
        </w:trPr>
        <w:tc>
          <w:tcPr>
            <w:tcW w:type="dxa" w:w="7272"/>
            <w:vAlign w:val="top"/>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pPr>
            <w:r>
              <w:rPr>
                <w:rFonts w:ascii="Arial" w:hAnsi="Arial" w:eastAsia="Arial" w:cs="Arial"/>
                <w:sz w:val="20"/>
                <w:szCs w:val="20"/>
              </w:rPr>
            </w:r>
            <w:r>
              <w:rPr>
                <w:b/>
                <w:rFonts w:ascii="Arial" w:hAnsi="Arial" w:eastAsia="Arial" w:cs="Arial"/>
                <w:sz w:val="20"/>
                <w:szCs w:val="20"/>
              </w:rPr>
              <w:t>Version / issue</w:t>
            </w:r>
          </w:p>
        </w:tc>
        <w:tc>
          <w:tcPr>
            <w:tcW w:type="dxa" w:w="7272"/>
            <w:vAlign w:val="top"/>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pPr>
            <w:r>
              <w:rPr>
                <w:rFonts w:ascii="Arial" w:hAnsi="Arial" w:eastAsia="Arial" w:cs="Arial"/>
                <w:sz w:val="20"/>
                <w:szCs w:val="20"/>
              </w:rPr>
              <w:t>Issue 1</w:t>
            </w:r>
          </w:p>
        </w:tc>
      </w:tr>
      <w:tr>
        <w:trPr>
          <w:cantSplit/>
        </w:trPr>
        <w:tc>
          <w:tcPr>
            <w:tcW w:type="dxa" w:w="7272"/>
            <w:vAlign w:val="top"/>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pPr>
            <w:r>
              <w:rPr>
                <w:rFonts w:ascii="Arial" w:hAnsi="Arial" w:eastAsia="Arial" w:cs="Arial"/>
                <w:sz w:val="20"/>
                <w:szCs w:val="20"/>
              </w:rPr>
            </w:r>
            <w:r>
              <w:rPr>
                <w:b/>
                <w:rFonts w:ascii="Arial" w:hAnsi="Arial" w:eastAsia="Arial" w:cs="Arial"/>
                <w:sz w:val="20"/>
                <w:szCs w:val="20"/>
              </w:rPr>
              <w:t>Date</w:t>
            </w:r>
          </w:p>
        </w:tc>
        <w:tc>
          <w:tcPr>
            <w:tcW w:type="dxa" w:w="7272"/>
            <w:vAlign w:val="top"/>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pPr>
            <w:r>
              <w:rPr>
                <w:rFonts w:ascii="Arial" w:hAnsi="Arial" w:eastAsia="Arial" w:cs="Arial"/>
                <w:sz w:val="20"/>
                <w:szCs w:val="20"/>
              </w:rPr>
              <w:t>2026-09-23</w:t>
            </w:r>
          </w:p>
        </w:tc>
      </w:tr>
      <w:tr>
        <w:trPr>
          <w:cantSplit/>
        </w:trPr>
        <w:tc>
          <w:tcPr>
            <w:tcW w:type="dxa" w:w="7272"/>
            <w:vAlign w:val="top"/>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pPr>
            <w:r>
              <w:rPr>
                <w:rFonts w:ascii="Arial" w:hAnsi="Arial" w:eastAsia="Arial" w:cs="Arial"/>
                <w:sz w:val="20"/>
                <w:szCs w:val="20"/>
              </w:rPr>
            </w:r>
            <w:r>
              <w:rPr>
                <w:b/>
                <w:rFonts w:ascii="Arial" w:hAnsi="Arial" w:eastAsia="Arial" w:cs="Arial"/>
                <w:sz w:val="20"/>
                <w:szCs w:val="20"/>
              </w:rPr>
              <w:t>Status</w:t>
            </w:r>
          </w:p>
        </w:tc>
        <w:tc>
          <w:tcPr>
            <w:tcW w:type="dxa" w:w="7272"/>
            <w:vAlign w:val="top"/>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pPr>
            <w:r>
              <w:rPr>
                <w:rFonts w:ascii="Arial" w:hAnsi="Arial" w:eastAsia="Arial" w:cs="Arial"/>
                <w:sz w:val="20"/>
                <w:szCs w:val="20"/>
              </w:rPr>
              <w:t>Final Issue 1 support release covering all ten Part 2 canonical papers, including the released Paper 1c scholarly apparatus. Secondary to canonical papers. Exact paper and support file identities are recorded in the release manifest; scholarly scope limits remain explicit.</w:t>
            </w:r>
          </w:p>
        </w:tc>
      </w:tr>
      <w:tr>
        <w:trPr>
          <w:cantSplit/>
        </w:trPr>
        <w:tc>
          <w:tcPr>
            <w:tcW w:type="dxa" w:w="7272"/>
            <w:vAlign w:val="top"/>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pPr>
            <w:r>
              <w:rPr>
                <w:rFonts w:ascii="Arial" w:hAnsi="Arial" w:eastAsia="Arial" w:cs="Arial"/>
                <w:sz w:val="20"/>
                <w:szCs w:val="20"/>
              </w:rPr>
            </w:r>
            <w:r>
              <w:rPr>
                <w:b/>
                <w:rFonts w:ascii="Arial" w:hAnsi="Arial" w:eastAsia="Arial" w:cs="Arial"/>
                <w:sz w:val="20"/>
                <w:szCs w:val="20"/>
              </w:rPr>
              <w:t>Supersedes</w:t>
            </w:r>
          </w:p>
        </w:tc>
        <w:tc>
          <w:tcPr>
            <w:tcW w:type="dxa" w:w="7272"/>
            <w:vAlign w:val="top"/>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pPr>
            <w:r>
              <w:rPr>
                <w:rFonts w:ascii="Arial" w:hAnsi="Arial" w:eastAsia="Arial" w:cs="Arial"/>
                <w:sz w:val="20"/>
                <w:szCs w:val="20"/>
              </w:rPr>
              <w:t xml:space="preserve">The preceding Issue 1 copy of this support document and its earlier pre-release inputs. Immediate release input: Part 2 - Concept Compression Map - Issue 1.docx | sha16 df4d03dd87670f94. Earlier source files and release history are retained. This reissue aligns support to the minimally amended Papers 2, 4a and 4c; it makes no further paper edits.</w:t>
            </w:r>
          </w:p>
        </w:tc>
      </w:tr>
      <w:tr>
        <w:trPr>
          <w:cantSplit/>
        </w:trPr>
        <w:tc>
          <w:tcPr>
            <w:tcW w:type="dxa" w:w="7272"/>
            <w:vAlign w:val="top"/>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pPr>
            <w:r>
              <w:rPr>
                <w:rFonts w:ascii="Arial" w:hAnsi="Arial" w:eastAsia="Arial" w:cs="Arial"/>
                <w:sz w:val="20"/>
                <w:szCs w:val="20"/>
              </w:rPr>
            </w:r>
            <w:r>
              <w:rPr>
                <w:b/>
                <w:rFonts w:ascii="Arial" w:hAnsi="Arial" w:eastAsia="Arial" w:cs="Arial"/>
                <w:sz w:val="20"/>
                <w:szCs w:val="20"/>
              </w:rPr>
              <w:t>Function</w:t>
            </w:r>
          </w:p>
        </w:tc>
        <w:tc>
          <w:tcPr>
            <w:tcW w:type="dxa" w:w="7272"/>
            <w:vAlign w:val="top"/>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pPr>
            <w:r>
              <w:rPr>
                <w:rFonts w:ascii="Arial" w:hAnsi="Arial" w:eastAsia="Arial" w:cs="Arial"/>
                <w:sz w:val="20"/>
                <w:szCs w:val="20"/>
              </w:rPr>
            </w:r>
            <w:r>
              <w:rPr>
                <w:b w:val="0"/>
                <w:rFonts w:ascii="Arial" w:hAnsi="Arial" w:eastAsia="Arial" w:cs="Arial"/>
                <w:sz w:val="20"/>
                <w:szCs w:val="20"/>
              </w:rPr>
              <w:t>Compresses the current Part 2 architecture into a controlled reference map while preserving the Part 2a / Part 2b internal split, canonical ownership, dependency order, and cross-Part handoff discipline.</w:t>
            </w:r>
          </w:p>
        </w:tc>
      </w:tr>
      <w:tr>
        <w:trPr>
          <w:cantSplit/>
        </w:trPr>
        <w:tc>
          <w:tcPr>
            <w:tcW w:type="dxa" w:w="7272"/>
            <w:vAlign w:val="top"/>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pPr>
            <w:r>
              <w:rPr>
                <w:rFonts w:ascii="Arial" w:hAnsi="Arial" w:eastAsia="Arial" w:cs="Arial"/>
                <w:sz w:val="20"/>
                <w:szCs w:val="20"/>
              </w:rPr>
            </w:r>
            <w:r>
              <w:rPr>
                <w:b/>
                <w:rFonts w:ascii="Arial" w:hAnsi="Arial" w:eastAsia="Arial" w:cs="Arial"/>
                <w:sz w:val="20"/>
                <w:szCs w:val="20"/>
              </w:rPr>
              <w:t>Canonical rule</w:t>
            </w:r>
          </w:p>
        </w:tc>
        <w:tc>
          <w:tcPr>
            <w:tcW w:type="dxa" w:w="7272"/>
            <w:vAlign w:val="top"/>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pPr>
            <w:r>
              <w:rPr>
                <w:rFonts w:ascii="Arial" w:hAnsi="Arial" w:eastAsia="Arial" w:cs="Arial"/>
                <w:sz w:val="20"/>
                <w:szCs w:val="20"/>
              </w:rPr>
              <w:t>Canonical primary and extension papers govern technical definitions. Paper 1 owns the RRP architecture; Paper 1a signal; Paper 1b reference-indexed realism and closure; Paper 1c the relational index, embodiment, derived reachability, Relational Form, and propagation; Paper 2 knowledge; Paper 3 intelligence; Paper 4 observation; Paper 4a abstraction and perspective; Paper 4b scale and measurement; Paper 4c the observation-program operational envelope.</w:t>
            </w:r>
          </w:p>
        </w:tc>
      </w:tr>
      <w:tr>
        <w:trPr>
          <w:cantSplit/>
        </w:trPr>
        <w:tc>
          <w:tcPr>
            <w:tcW w:type="dxa" w:w="7272"/>
            <w:vAlign w:val="top"/>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pPr>
            <w:r>
              <w:rPr>
                <w:rFonts w:ascii="Arial" w:hAnsi="Arial" w:eastAsia="Arial" w:cs="Arial"/>
                <w:sz w:val="20"/>
                <w:szCs w:val="20"/>
              </w:rPr>
            </w:r>
            <w:r>
              <w:rPr>
                <w:b/>
                <w:rFonts w:ascii="Arial" w:hAnsi="Arial" w:eastAsia="Arial" w:cs="Arial"/>
                <w:sz w:val="20"/>
                <w:szCs w:val="20"/>
              </w:rPr>
              <w:t>Internal split rule</w:t>
            </w:r>
          </w:p>
        </w:tc>
        <w:tc>
          <w:tcPr>
            <w:tcW w:type="dxa" w:w="7272"/>
            <w:vAlign w:val="top"/>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pPr>
            <w:r>
              <w:rPr>
                <w:rFonts w:ascii="Arial" w:hAnsi="Arial" w:eastAsia="Arial" w:cs="Arial"/>
                <w:sz w:val="20"/>
                <w:szCs w:val="20"/>
              </w:rPr>
            </w:r>
            <w:r>
              <w:rPr>
                <w:b w:val="0"/>
                <w:rFonts w:ascii="Arial" w:hAnsi="Arial" w:eastAsia="Arial" w:cs="Arial"/>
                <w:sz w:val="20"/>
                <w:szCs w:val="20"/>
              </w:rPr>
              <w:t>Part 2a and Part 2b remain distinct canonical regions inside one Part-level support control. Part 2b inherits Part 2a architecture; downstream material does not retroactively redefine upstream canonical terms.</w:t>
            </w:r>
          </w:p>
        </w:tc>
      </w:tr>
      <w:tr>
        <w:trPr>
          <w:cantSplit/>
        </w:trPr>
        <w:tc>
          <w:tcPr>
            <w:tcW w:type="dxa" w:w="7272"/>
            <w:vAlign w:val="top"/>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pPr>
            <w:r>
              <w:rPr>
                <w:rFonts w:ascii="Arial" w:hAnsi="Arial" w:eastAsia="Arial" w:cs="Arial"/>
                <w:sz w:val="20"/>
                <w:szCs w:val="20"/>
              </w:rPr>
            </w:r>
            <w:r>
              <w:rPr>
                <w:b/>
                <w:rFonts w:ascii="Arial" w:hAnsi="Arial" w:eastAsia="Arial" w:cs="Arial"/>
                <w:sz w:val="20"/>
                <w:szCs w:val="20"/>
              </w:rPr>
              <w:t>Source-lock rule</w:t>
            </w:r>
          </w:p>
        </w:tc>
        <w:tc>
          <w:tcPr>
            <w:tcW w:type="dxa" w:w="7272"/>
            <w:vAlign w:val="top"/>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pPr>
            <w:r>
              <w:rPr>
                <w:rFonts w:ascii="Arial" w:hAnsi="Arial" w:eastAsia="Arial" w:cs="Arial"/>
                <w:sz w:val="20"/>
                <w:szCs w:val="20"/>
              </w:rPr>
              <w:t xml:space="preserve">Use the ten Issue 1 paper identities in 0.1 and the directional support-control chain in 0.2. Part_2_Issue_1_Support_Manifest.json distinguishes recalculated SHA-256 digests from unchanged recorded locks carried forward without byte verification. Historical predecessor locks remain evidence only. Every later saved edit requires rehashing and downstream reconciliation.</w:t>
            </w:r>
          </w:p>
        </w:tc>
      </w:tr>
      <w:tr>
        <w:trPr>
          <w:cantSplit/>
        </w:trPr>
        <w:tc>
          <w:tcPr>
            <w:tcW w:type="dxa" w:w="7272"/>
            <w:vAlign w:val="top"/>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pPr>
            <w:r>
              <w:rPr>
                <w:rFonts w:ascii="Arial" w:hAnsi="Arial" w:eastAsia="Arial" w:cs="Arial"/>
                <w:sz w:val="20"/>
                <w:szCs w:val="20"/>
              </w:rPr>
            </w:r>
            <w:r>
              <w:rPr>
                <w:b/>
                <w:rFonts w:ascii="Arial" w:hAnsi="Arial" w:eastAsia="Arial" w:cs="Arial"/>
                <w:sz w:val="20"/>
                <w:szCs w:val="20"/>
              </w:rPr>
              <w:t>Template rule</w:t>
            </w:r>
          </w:p>
        </w:tc>
        <w:tc>
          <w:tcPr>
            <w:tcW w:type="dxa" w:w="7272"/>
            <w:vAlign w:val="top"/>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pPr>
            <w:r>
              <w:rPr>
                <w:rFonts w:ascii="Arial" w:hAnsi="Arial" w:eastAsia="Arial" w:cs="Arial"/>
                <w:sz w:val="20"/>
                <w:szCs w:val="20"/>
              </w:rPr>
              <w:t xml:space="preserve">Retain the consolidated support schema, record IDs and GOT-SFMT-01 visual family. Preserve Paper 1c content and canonical definitions. This reconciliation updates release controls and the limited Paper 1c support alignment; it adds no external publication or independent technical definition.</w:t>
            </w:r>
          </w:p>
        </w:tc>
      </w:tr>
    </w:tbl>
    <w:p>
      <w:pPr>
        <w:rPr>
          <w:rFonts w:ascii="Arial" w:hAnsi="Arial" w:eastAsia="Arial" w:cs="Arial"/>
          <w:sz w:val="22"/>
          <w:szCs w:val="22"/>
        </w:rPr>
        <w:widowControl/>
        <w:spacing w:before="0" w:after="0" w:line="240" w:lineRule="auto"/>
        <w:keepNext/>
      </w:pPr>
      <w:r>
        <w:rPr>
          <w:rFonts w:ascii="Arial" w:hAnsi="Arial" w:eastAsia="Arial" w:cs="Arial"/>
          <w:sz w:val="22"/>
        </w:rPr>
      </w:r>
    </w:p>
    <w:p>
      <w:pPr>
        <w:widowControl/>
        <w:rPr>
          <w:rFonts w:ascii="Arial" w:hAnsi="Arial" w:eastAsia="Arial" w:cs="Arial"/>
          <w:sz w:val="30"/>
          <w:szCs w:val="30"/>
          <w:b w:val="1"/>
          <w:color w:val="1F4E79"/>
        </w:rPr>
        <w:pStyle w:val="Heading1"/>
        <w:keepNext/>
        <w:keepLines/>
      </w:pPr>
      <w:r>
        <w:rPr>
          <w:rFonts w:ascii="Arial" w:hAnsi="Arial" w:eastAsia="Arial" w:cs="Arial"/>
          <w:sz w:val="30"/>
          <w:szCs w:val="30"/>
          <w:b w:val="1"/>
          <w:color w:val="1F4E79"/>
        </w:rPr>
        <w:t>0. Part-level consolidation and source discipline</w:t>
      </w:r>
    </w:p>
    <w:p>
      <w:pPr>
        <w:widowControl/>
        <w:rPr>
          <w:rFonts w:ascii="Arial" w:hAnsi="Arial" w:eastAsia="Arial" w:cs="Arial"/>
          <w:sz w:val="22"/>
          <w:szCs w:val="22"/>
        </w:rPr>
      </w:pPr>
      <w:r>
        <w:rPr>
          <w:rFonts w:ascii="Arial" w:hAnsi="Arial" w:eastAsia="Arial" w:cs="Arial"/>
          <w:sz w:val="22"/>
          <w:szCs w:val="22"/>
        </w:rPr>
        <w:t xml:space="preserve">This clean Issue 1 support reissue reconciles Part 2a and Part 2b with the completed, limited Paper 1c integrations in Papers 2, 4a and 4c. The ten-paper sequence, canonical ownership and internal split are preserved. Source-lock verification and carried-forward limits are distinguished in 0.1. This support pass makes no further primary- or extension-paper edits.</w:t>
      </w:r>
    </w:p>
    <w:p>
      <w:pPr>
        <w:widowControl/>
        <w:rPr>
          <w:rFonts w:ascii="Arial" w:hAnsi="Arial" w:eastAsia="Arial" w:cs="Arial"/>
          <w:sz w:val="22"/>
          <w:szCs w:val="22"/>
        </w:rPr>
      </w:pPr>
      <w:r>
        <w:rPr>
          <w:rFonts w:ascii="Arial" w:hAnsi="Arial" w:eastAsia="Arial" w:cs="Arial"/>
          <w:sz w:val="22"/>
          <w:szCs w:val="22"/>
        </w:rPr>
        <w:t>The Issue 1 canonical paper sequence is 1, 1a, 1b, 1c, 2, 3, 4, 4a, 4b, 4c. Paper 1c - Relational Form is an attached extension of Paper 1, placed after 1b. The Part 2b sequence remains Knowledge (2), Intelligence (3), Observation (4), Limits (4a), Scale (4b), and Operational Envelope (4c).</w:t>
      </w:r>
    </w:p>
    <w:p>
      <w:pPr>
        <w:widowControl/>
        <w:rPr>
          <w:rFonts w:ascii="Arial" w:hAnsi="Arial" w:eastAsia="Arial" w:cs="Arial"/>
          <w:sz w:val="24"/>
          <w:szCs w:val="24"/>
          <w:b w:val="1"/>
          <w:color w:val="1F4E79"/>
        </w:rPr>
        <w:pStyle w:val="Heading2"/>
        <w:keepNext/>
        <w:keepLines/>
      </w:pPr>
      <w:r>
        <w:rPr>
          <w:rFonts w:ascii="Arial" w:hAnsi="Arial" w:eastAsia="Arial" w:cs="Arial"/>
          <w:sz w:val="24"/>
          <w:szCs w:val="24"/>
          <w:b w:val="1"/>
          <w:color w:val="1F4E79"/>
        </w:rPr>
        <w:t>0.1 Canonical source register - Issue 1 release lock</w:t>
      </w:r>
    </w:p>
    <w:tbl>
      <w:tblPr>
        <w:tblW w:type="auto" w:w="0"/>
        <w:jc w:val="center"/>
        <w:tblLook w:firstColumn="1" w:firstRow="1" w:lastColumn="0" w:lastRow="0" w:noHBand="0" w:noVBand="1" w:val="04A0"/>
        <w:tblBorders>
          <w:top w:val="single" w:sz="4" w:color="7F7F7F"/>
          <w:left w:val="single" w:sz="4" w:color="7F7F7F"/>
          <w:bottom w:val="single" w:sz="4" w:color="7F7F7F"/>
          <w:right w:val="single" w:sz="4" w:color="7F7F7F"/>
          <w:insideH w:val="single" w:sz="4" w:color="7F7F7F"/>
          <w:insideV w:val="single" w:sz="4" w:color="7F7F7F"/>
        </w:tblBorders>
      </w:tblPr>
      <w:tblGrid>
        <w:gridCol w:w="3636"/>
        <w:gridCol w:w="3636"/>
        <w:gridCol w:w="3636"/>
        <w:gridCol w:w="3636"/>
      </w:tblGrid>
      <w:tr>
        <w:trPr>
          <w:tblHeader w:val="1"/>
          <w:cantSplit/>
        </w:trPr>
        <w:tc>
          <w:tcPr>
            <w:tcW w:type="dxa" w:w="1512"/>
            <w:vAlign w:val="top"/>
            <w:shd w:fill="D9EAF7" w:val="clear"/>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pPr>
            <w:r>
              <w:rPr>
                <w:rFonts w:ascii="Arial" w:hAnsi="Arial" w:eastAsia="Arial" w:cs="Arial"/>
                <w:sz w:val="20"/>
                <w:szCs w:val="20"/>
                <w:b/>
              </w:rPr>
            </w:r>
            <w:r>
              <w:rPr>
                <w:rFonts w:ascii="Arial" w:hAnsi="Arial" w:eastAsia="Arial" w:cs="Arial"/>
                <w:sz w:val="20"/>
                <w:szCs w:val="20"/>
                <w:b/>
              </w:rPr>
              <w:t>Seq.</w:t>
            </w:r>
          </w:p>
        </w:tc>
        <w:tc>
          <w:tcPr>
            <w:tcW w:type="dxa" w:w="4320"/>
            <w:vAlign w:val="top"/>
            <w:shd w:fill="D9EAF7" w:val="clear"/>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pPr>
            <w:r>
              <w:rPr>
                <w:rFonts w:ascii="Arial" w:hAnsi="Arial" w:eastAsia="Arial" w:cs="Arial"/>
                <w:sz w:val="20"/>
                <w:szCs w:val="20"/>
                <w:b/>
              </w:rPr>
              <w:t>Released source / current and historical locks</w:t>
            </w:r>
          </w:p>
        </w:tc>
        <w:tc>
          <w:tcPr>
            <w:tcW w:type="dxa" w:w="2376"/>
            <w:vAlign w:val="top"/>
            <w:shd w:fill="D9EAF7" w:val="clear"/>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pPr>
            <w:r>
              <w:rPr>
                <w:rFonts w:ascii="Arial" w:hAnsi="Arial" w:eastAsia="Arial" w:cs="Arial"/>
                <w:sz w:val="20"/>
                <w:szCs w:val="20"/>
                <w:b/>
              </w:rPr>
            </w:r>
            <w:r>
              <w:rPr>
                <w:rFonts w:ascii="Arial" w:hAnsi="Arial" w:eastAsia="Arial" w:cs="Arial"/>
                <w:sz w:val="20"/>
                <w:szCs w:val="20"/>
                <w:b/>
              </w:rPr>
              <w:t>Canonical paper</w:t>
            </w:r>
          </w:p>
        </w:tc>
        <w:tc>
          <w:tcPr>
            <w:tcW w:type="dxa" w:w="6120"/>
            <w:vAlign w:val="top"/>
            <w:shd w:fill="D9EAF7" w:val="clear"/>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pPr>
            <w:r>
              <w:rPr>
                <w:rFonts w:ascii="Arial" w:hAnsi="Arial" w:eastAsia="Arial" w:cs="Arial"/>
                <w:sz w:val="20"/>
                <w:szCs w:val="20"/>
                <w:b/>
              </w:rPr>
            </w:r>
            <w:r>
              <w:rPr>
                <w:rFonts w:ascii="Arial" w:hAnsi="Arial" w:eastAsia="Arial" w:cs="Arial"/>
                <w:sz w:val="20"/>
                <w:szCs w:val="20"/>
                <w:b/>
              </w:rPr>
              <w:t>Canonical ownership / use</w:t>
            </w:r>
          </w:p>
        </w:tc>
      </w:tr>
      <w:tr>
        <w:trPr>
          <w:cantSplit/>
        </w:trPr>
        <w:tc>
          <w:tcPr>
            <w:tcW w:type="dxa" w:w="1512"/>
            <w:vAlign w:val="top"/>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pPr>
            <w:r>
              <w:rPr>
                <w:rFonts w:ascii="Arial" w:hAnsi="Arial" w:eastAsia="Arial" w:cs="Arial"/>
                <w:sz w:val="20"/>
                <w:szCs w:val="20"/>
              </w:rPr>
            </w:r>
            <w:r>
              <w:rPr>
                <w:b w:val="0"/>
                <w:rFonts w:ascii="Arial" w:hAnsi="Arial" w:eastAsia="Arial" w:cs="Arial"/>
                <w:sz w:val="20"/>
                <w:szCs w:val="20"/>
              </w:rPr>
              <w:t>Part 2a / Paper 1</w:t>
            </w:r>
          </w:p>
        </w:tc>
        <w:tc>
          <w:tcPr>
            <w:tcW w:type="dxa" w:w="4320"/>
            <w:vAlign w:val="top"/>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pPr>
            <w:r>
              <w:rPr>
                <w:rFonts w:ascii="Arial" w:hAnsi="Arial" w:eastAsia="Arial" w:cs="Arial"/>
                <w:sz w:val="20"/>
                <w:szCs w:val="20"/>
              </w:rPr>
              <w:t>GOT-V1-2a-1 - Relative Reference Points - Issue 1.docx</w:t>
              <w:br/>
              <w:t>Issue 1 SHA-256 (first 16): d786d0683fca89f8</w:t>
              <w:br/>
              <w:t>Historical predecessor only: 1. Relative Reference Points P2v8.docx | sha16 36cab03f9d685afb</w:t>
            </w:r>
          </w:p>
        </w:tc>
        <w:tc>
          <w:tcPr>
            <w:tcW w:type="dxa" w:w="2376"/>
            <w:vAlign w:val="top"/>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pPr>
            <w:r>
              <w:rPr>
                <w:rFonts w:ascii="Arial" w:hAnsi="Arial" w:eastAsia="Arial" w:cs="Arial"/>
                <w:sz w:val="20"/>
                <w:szCs w:val="20"/>
              </w:rPr>
            </w:r>
            <w:r>
              <w:rPr>
                <w:b w:val="0"/>
                <w:rFonts w:ascii="Arial" w:hAnsi="Arial" w:eastAsia="Arial" w:cs="Arial"/>
                <w:sz w:val="20"/>
                <w:szCs w:val="20"/>
              </w:rPr>
              <w:t>Relative Reference Points</w:t>
            </w:r>
          </w:p>
        </w:tc>
        <w:tc>
          <w:tcPr>
            <w:tcW w:type="dxa" w:w="6120"/>
            <w:vAlign w:val="top"/>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pPr>
            <w:r>
              <w:rPr>
                <w:rFonts w:ascii="Arial" w:hAnsi="Arial" w:eastAsia="Arial" w:cs="Arial"/>
                <w:sz w:val="20"/>
                <w:szCs w:val="20"/>
              </w:rPr>
            </w:r>
            <w:r>
              <w:rPr>
                <w:b w:val="0"/>
                <w:rFonts w:ascii="Arial" w:hAnsi="Arial" w:eastAsia="Arial" w:cs="Arial"/>
                <w:sz w:val="20"/>
                <w:szCs w:val="20"/>
              </w:rPr>
              <w:t>Reference-indexed informational architecture; Relational Access Principle; RRP and RRP Set; OP, OA, OR, RAS, RSD; local locus discipline; scoped operational information for a locus.</w:t>
            </w:r>
          </w:p>
        </w:tc>
      </w:tr>
      <w:tr>
        <w:trPr>
          <w:cantSplit/>
        </w:trPr>
        <w:tc>
          <w:tcPr>
            <w:tcW w:type="dxa" w:w="1512"/>
            <w:vAlign w:val="top"/>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pPr>
            <w:r>
              <w:rPr>
                <w:rFonts w:ascii="Arial" w:hAnsi="Arial" w:eastAsia="Arial" w:cs="Arial"/>
                <w:sz w:val="20"/>
                <w:szCs w:val="20"/>
              </w:rPr>
            </w:r>
            <w:r>
              <w:rPr>
                <w:b w:val="0"/>
                <w:rFonts w:ascii="Arial" w:hAnsi="Arial" w:eastAsia="Arial" w:cs="Arial"/>
                <w:sz w:val="20"/>
                <w:szCs w:val="20"/>
              </w:rPr>
              <w:t>Part 2a / Paper 1a</w:t>
            </w:r>
          </w:p>
        </w:tc>
        <w:tc>
          <w:tcPr>
            <w:tcW w:type="dxa" w:w="4320"/>
            <w:vAlign w:val="top"/>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pPr>
            <w:r>
              <w:rPr>
                <w:rFonts w:ascii="Arial" w:hAnsi="Arial" w:eastAsia="Arial" w:cs="Arial"/>
                <w:sz w:val="20"/>
                <w:szCs w:val="20"/>
              </w:rPr>
              <w:t>GOT-V1-2a-1a - From Noise Cometh Signal - Issue 1.docx</w:t>
              <w:br/>
              <w:t>Issue 1 SHA-256 (first 16): 295caad5ca395d00</w:t>
              <w:br/>
              <w:t>Historical predecessor only: 1a. From Noise Cometh Signal - P2v11.docx | sha16 dc80b50275c6ac95</w:t>
            </w:r>
          </w:p>
        </w:tc>
        <w:tc>
          <w:tcPr>
            <w:tcW w:type="dxa" w:w="2376"/>
            <w:vAlign w:val="top"/>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pPr>
            <w:r>
              <w:rPr>
                <w:rFonts w:ascii="Arial" w:hAnsi="Arial" w:eastAsia="Arial" w:cs="Arial"/>
                <w:sz w:val="20"/>
                <w:szCs w:val="20"/>
              </w:rPr>
            </w:r>
            <w:r>
              <w:rPr>
                <w:b w:val="0"/>
                <w:rFonts w:ascii="Arial" w:hAnsi="Arial" w:eastAsia="Arial" w:cs="Arial"/>
                <w:sz w:val="20"/>
                <w:szCs w:val="20"/>
              </w:rPr>
              <w:t>From Noise Cometh Signal</w:t>
            </w:r>
          </w:p>
        </w:tc>
        <w:tc>
          <w:tcPr>
            <w:tcW w:type="dxa" w:w="6120"/>
            <w:vAlign w:val="top"/>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pPr>
            <w:r>
              <w:rPr>
                <w:rFonts w:ascii="Arial" w:hAnsi="Arial" w:eastAsia="Arial" w:cs="Arial"/>
                <w:sz w:val="20"/>
                <w:szCs w:val="20"/>
              </w:rPr>
            </w:r>
            <w:r>
              <w:rPr>
                <w:b w:val="0"/>
                <w:rFonts w:ascii="Arial" w:hAnsi="Arial" w:eastAsia="Arial" w:cs="Arial"/>
                <w:sz w:val="20"/>
                <w:szCs w:val="20"/>
              </w:rPr>
              <w:t>Physical pathway of availability; variation, preserved contrast, signal, channel-relative discriminability, Locus Event Horizon, signal/information separation, and ingress into OP.</w:t>
            </w:r>
          </w:p>
        </w:tc>
      </w:tr>
      <w:tr>
        <w:trPr>
          <w:cantSplit/>
        </w:trPr>
        <w:tc>
          <w:tcPr>
            <w:tcW w:type="dxa" w:w="1512"/>
            <w:vAlign w:val="top"/>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pPr>
            <w:r>
              <w:rPr>
                <w:rFonts w:ascii="Arial" w:hAnsi="Arial" w:eastAsia="Arial" w:cs="Arial"/>
                <w:sz w:val="20"/>
                <w:szCs w:val="20"/>
              </w:rPr>
            </w:r>
            <w:r>
              <w:rPr>
                <w:b w:val="0"/>
                <w:rFonts w:ascii="Arial" w:hAnsi="Arial" w:eastAsia="Arial" w:cs="Arial"/>
                <w:sz w:val="20"/>
                <w:szCs w:val="20"/>
              </w:rPr>
              <w:t>Part 2a / Paper 1b</w:t>
            </w:r>
          </w:p>
        </w:tc>
        <w:tc>
          <w:tcPr>
            <w:tcW w:type="dxa" w:w="4320"/>
            <w:vAlign w:val="top"/>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pPr>
            <w:r>
              <w:rPr>
                <w:rFonts w:ascii="Arial" w:hAnsi="Arial" w:eastAsia="Arial" w:cs="Arial"/>
                <w:sz w:val="20"/>
                <w:szCs w:val="20"/>
              </w:rPr>
              <w:t>GOT-V1-2a-1b - Reference-Indexed Realism - Issue 1.docx</w:t>
              <w:br/>
              <w:t>Issue 1 SHA-256 (first 16): 259f3a4db7bf6aed</w:t>
              <w:br/>
              <w:t>Historical predecessor only: 1b. Reference Indexed Realism - P2v7.docx | sha16 28306cc5f13cf769</w:t>
            </w:r>
          </w:p>
        </w:tc>
        <w:tc>
          <w:tcPr>
            <w:tcW w:type="dxa" w:w="2376"/>
            <w:vAlign w:val="top"/>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pPr>
            <w:r>
              <w:rPr>
                <w:rFonts w:ascii="Arial" w:hAnsi="Arial" w:eastAsia="Arial" w:cs="Arial"/>
                <w:sz w:val="20"/>
                <w:szCs w:val="20"/>
              </w:rPr>
            </w:r>
            <w:r>
              <w:rPr>
                <w:b w:val="0"/>
                <w:rFonts w:ascii="Arial" w:hAnsi="Arial" w:eastAsia="Arial" w:cs="Arial"/>
                <w:sz w:val="20"/>
                <w:szCs w:val="20"/>
              </w:rPr>
              <w:t>Reference-Indexed Realism</w:t>
            </w:r>
          </w:p>
        </w:tc>
        <w:tc>
          <w:tcPr>
            <w:tcW w:type="dxa" w:w="6120"/>
            <w:vAlign w:val="top"/>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pPr>
            <w:r>
              <w:rPr>
                <w:rFonts w:ascii="Arial" w:hAnsi="Arial" w:eastAsia="Arial" w:cs="Arial"/>
                <w:sz w:val="20"/>
                <w:szCs w:val="20"/>
              </w:rPr>
            </w:r>
            <w:r>
              <w:rPr>
                <w:b w:val="0"/>
                <w:rFonts w:ascii="Arial" w:hAnsi="Arial" w:eastAsia="Arial" w:cs="Arial"/>
                <w:sz w:val="20"/>
                <w:szCs w:val="20"/>
              </w:rPr>
              <w:t>Reference-indexed realism; broad bounded-registration bridge use; ontological target, finite model, residual, access scaffold, and discipline of closure.</w:t>
            </w:r>
          </w:p>
        </w:tc>
      </w:tr>
      <w:tr>
        <w:trPr>
          <w:cantSplit/>
        </w:trPr>
        <w:tc>
          <w:tcPr>
            <w:tcW w:type="dxa" w:w="1512"/>
            <w:vAlign w:val="top"/>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pPr>
            <w:r>
              <w:rPr>
                <w:rFonts w:ascii="Arial" w:hAnsi="Arial" w:eastAsia="Arial" w:cs="Arial"/>
                <w:b w:val="0"/>
                <w:sz w:val="20"/>
                <w:szCs w:val="20"/>
              </w:rPr>
              <w:t>Part 2a / Paper 1c</w:t>
            </w:r>
          </w:p>
        </w:tc>
        <w:tc>
          <w:tcPr>
            <w:tcW w:type="dxa" w:w="4320"/>
            <w:vAlign w:val="top"/>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pPr>
            <w:r>
              <w:rPr>
                <w:rFonts w:ascii="Arial" w:hAnsi="Arial" w:eastAsia="Arial" w:cs="Arial"/>
                <w:b w:val="0"/>
                <w:sz w:val="20"/>
                <w:szCs w:val="20"/>
              </w:rPr>
              <w:t>GOT-V1-2a-1c - Relational Form - Issue 1.docx</w:t>
              <w:br/>
              <w:t>Issue 1 SHA-256 (first 16): 47757d7fbce15332</w:t>
              <w:br/>
              <w:t>Historical lineage: added during the Part 2 support reconciliation; the earlier Draft v3 and Apparatus working copies are superseded release inputs, not current canonical locks.</w:t>
            </w:r>
          </w:p>
        </w:tc>
        <w:tc>
          <w:tcPr>
            <w:tcW w:type="dxa" w:w="2376"/>
            <w:vAlign w:val="top"/>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pPr>
            <w:r>
              <w:rPr>
                <w:rFonts w:ascii="Arial" w:hAnsi="Arial" w:eastAsia="Arial" w:cs="Arial"/>
                <w:b w:val="0"/>
                <w:sz w:val="20"/>
                <w:szCs w:val="20"/>
              </w:rPr>
              <w:t>Relational Form</w:t>
            </w:r>
          </w:p>
        </w:tc>
        <w:tc>
          <w:tcPr>
            <w:tcW w:type="dxa" w:w="6120"/>
            <w:vAlign w:val="top"/>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pPr>
            <w:r>
              <w:rPr>
                <w:rFonts w:ascii="Arial" w:hAnsi="Arial" w:eastAsia="Arial" w:cs="Arial"/>
                <w:b w:val="0"/>
                <w:sz w:val="20"/>
                <w:szCs w:val="20"/>
              </w:rPr>
              <w:t>Relational index; target and locus as local physical cuts; coupling; embodiment of OA-keyed RAS; derived Relational Reachability; Relational Form and physically supported potential; relational propagation; relation before representation. RRP Set primitives remain owned by Paper 1.</w:t>
            </w:r>
          </w:p>
        </w:tc>
      </w:tr>
      <w:tr>
        <w:trPr>
          <w:cantSplit/>
        </w:trPr>
        <w:tc>
          <w:tcPr>
            <w:tcW w:type="dxa" w:w="1512"/>
            <w:vAlign w:val="top"/>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pPr>
            <w:r>
              <w:rPr>
                <w:rFonts w:ascii="Arial" w:hAnsi="Arial" w:eastAsia="Arial" w:cs="Arial"/>
                <w:sz w:val="20"/>
                <w:szCs w:val="20"/>
              </w:rPr>
            </w:r>
            <w:r>
              <w:rPr>
                <w:b w:val="0"/>
                <w:rFonts w:ascii="Arial" w:hAnsi="Arial" w:eastAsia="Arial" w:cs="Arial"/>
                <w:sz w:val="20"/>
                <w:szCs w:val="20"/>
              </w:rPr>
              <w:t>Part 2b / Paper 2</w:t>
            </w:r>
          </w:p>
        </w:tc>
        <w:tc>
          <w:tcPr>
            <w:tcW w:type="dxa" w:w="4320"/>
            <w:vAlign w:val="top"/>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pPr>
            <w:r>
              <w:rPr>
                <w:rFonts w:ascii="Arial" w:hAnsi="Arial" w:eastAsia="Arial" w:cs="Arial"/>
                <w:sz w:val="20"/>
                <w:szCs w:val="20"/>
              </w:rPr>
              <w:t>GOT-V1-2b-2 - On the Origin of Knowledge - Issue 1.docx</w:t>
              <w:br/>
              <w:t>Issue 1 SHA-256 (first 16): 1c8023254b9e9e1c</w:t>
              <w:br/>
              <w:t>Historical predecessor only: 2. On the Origin of Knowledge - P2v8.docx | sha16 22932c7f9d238909</w:t>
            </w:r>
          </w:p>
        </w:tc>
        <w:tc>
          <w:tcPr>
            <w:tcW w:type="dxa" w:w="2376"/>
            <w:vAlign w:val="top"/>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pPr>
            <w:r>
              <w:rPr>
                <w:rFonts w:ascii="Arial" w:hAnsi="Arial" w:eastAsia="Arial" w:cs="Arial"/>
                <w:sz w:val="20"/>
                <w:szCs w:val="20"/>
              </w:rPr>
            </w:r>
            <w:r>
              <w:rPr>
                <w:b w:val="0"/>
                <w:rFonts w:ascii="Arial" w:hAnsi="Arial" w:eastAsia="Arial" w:cs="Arial"/>
                <w:sz w:val="20"/>
                <w:szCs w:val="20"/>
              </w:rPr>
              <w:t>On the Origin of Knowledge</w:t>
            </w:r>
          </w:p>
        </w:tc>
        <w:tc>
          <w:tcPr>
            <w:tcW w:type="dxa" w:w="6120"/>
            <w:vAlign w:val="top"/>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pPr>
            <w:r>
              <w:rPr>
                <w:rFonts w:ascii="Arial" w:hAnsi="Arial" w:eastAsia="Arial" w:cs="Arial"/>
                <w:sz w:val="20"/>
                <w:szCs w:val="20"/>
              </w:rPr>
            </w:r>
            <w:r>
              <w:rPr>
                <w:b w:val="0"/>
                <w:rFonts w:ascii="Arial" w:hAnsi="Arial" w:eastAsia="Arial" w:cs="Arial"/>
                <w:sz w:val="20"/>
                <w:szCs w:val="20"/>
              </w:rPr>
              <w:t>Knowledge as retained distinction; RAS as canonical minimal carrier; TK, KIP, NTK; record-status separated from truth, warrant, objectivity, and justification.</w:t>
            </w:r>
          </w:p>
        </w:tc>
      </w:tr>
      <w:tr>
        <w:trPr>
          <w:cantSplit/>
        </w:trPr>
        <w:tc>
          <w:tcPr>
            <w:tcW w:type="dxa" w:w="1512"/>
            <w:vAlign w:val="top"/>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pPr>
            <w:r>
              <w:rPr>
                <w:rFonts w:ascii="Arial" w:hAnsi="Arial" w:eastAsia="Arial" w:cs="Arial"/>
                <w:sz w:val="20"/>
                <w:szCs w:val="20"/>
              </w:rPr>
            </w:r>
            <w:r>
              <w:rPr>
                <w:b w:val="0"/>
                <w:rFonts w:ascii="Arial" w:hAnsi="Arial" w:eastAsia="Arial" w:cs="Arial"/>
                <w:sz w:val="20"/>
                <w:szCs w:val="20"/>
              </w:rPr>
              <w:t>Part 2b / Paper 3</w:t>
            </w:r>
          </w:p>
        </w:tc>
        <w:tc>
          <w:tcPr>
            <w:tcW w:type="dxa" w:w="4320"/>
            <w:vAlign w:val="top"/>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pPr>
            <w:r>
              <w:rPr>
                <w:rFonts w:ascii="Arial" w:hAnsi="Arial" w:eastAsia="Arial" w:cs="Arial"/>
                <w:sz w:val="20"/>
                <w:szCs w:val="20"/>
              </w:rPr>
              <w:t>GOT-V1-2b-3 - On the Origin of Intelligence - Issue 1.docx</w:t>
              <w:br/>
              <w:t>Issue 1 SHA-256 (first 16): 38f1b0e3d69c60e2</w:t>
              <w:br/>
              <w:t>Historical predecessor only: 3. On the Origin of Intelligence - P2v5.docx | sha16 30b095be2bf4bde5</w:t>
            </w:r>
          </w:p>
        </w:tc>
        <w:tc>
          <w:tcPr>
            <w:tcW w:type="dxa" w:w="2376"/>
            <w:vAlign w:val="top"/>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pPr>
            <w:r>
              <w:rPr>
                <w:rFonts w:ascii="Arial" w:hAnsi="Arial" w:eastAsia="Arial" w:cs="Arial"/>
                <w:sz w:val="20"/>
                <w:szCs w:val="20"/>
              </w:rPr>
            </w:r>
            <w:r>
              <w:rPr>
                <w:b w:val="0"/>
                <w:rFonts w:ascii="Arial" w:hAnsi="Arial" w:eastAsia="Arial" w:cs="Arial"/>
                <w:sz w:val="20"/>
                <w:szCs w:val="20"/>
              </w:rPr>
              <w:t>On the Origin of Intelligence</w:t>
            </w:r>
          </w:p>
        </w:tc>
        <w:tc>
          <w:tcPr>
            <w:tcW w:type="dxa" w:w="6120"/>
            <w:vAlign w:val="top"/>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pPr>
            <w:r>
              <w:rPr>
                <w:rFonts w:ascii="Arial" w:hAnsi="Arial" w:eastAsia="Arial" w:cs="Arial"/>
                <w:sz w:val="20"/>
                <w:szCs w:val="20"/>
              </w:rPr>
            </w:r>
            <w:r>
              <w:rPr>
                <w:b w:val="0"/>
                <w:rFonts w:ascii="Arial" w:hAnsi="Arial" w:eastAsia="Arial" w:cs="Arial"/>
                <w:sz w:val="20"/>
                <w:szCs w:val="20"/>
              </w:rPr>
              <w:t>Intelligence as applied distinction; finite branch-space; passive/active information; passive/active intelligence; NTI; provenance, comparator, and locus discipline.</w:t>
            </w:r>
          </w:p>
        </w:tc>
      </w:tr>
      <w:tr>
        <w:trPr>
          <w:cantSplit/>
        </w:trPr>
        <w:tc>
          <w:tcPr>
            <w:tcW w:type="dxa" w:w="1512"/>
            <w:vAlign w:val="top"/>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pPr>
            <w:r>
              <w:rPr>
                <w:rFonts w:ascii="Arial" w:hAnsi="Arial" w:eastAsia="Arial" w:cs="Arial"/>
                <w:sz w:val="20"/>
                <w:szCs w:val="20"/>
              </w:rPr>
            </w:r>
            <w:r>
              <w:rPr>
                <w:b w:val="0"/>
                <w:rFonts w:ascii="Arial" w:hAnsi="Arial" w:eastAsia="Arial" w:cs="Arial"/>
                <w:sz w:val="20"/>
                <w:szCs w:val="20"/>
              </w:rPr>
              <w:t>Part 2b / Paper 4</w:t>
            </w:r>
          </w:p>
        </w:tc>
        <w:tc>
          <w:tcPr>
            <w:tcW w:type="dxa" w:w="4320"/>
            <w:vAlign w:val="top"/>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pPr>
            <w:r>
              <w:rPr>
                <w:rFonts w:ascii="Arial" w:hAnsi="Arial" w:eastAsia="Arial" w:cs="Arial"/>
                <w:sz w:val="20"/>
                <w:szCs w:val="20"/>
              </w:rPr>
              <w:t>GOT-V1-2b-4 - On the Origin of Observation - Issue 1.docx</w:t>
              <w:br/>
              <w:t>Issue 1 SHA-256 (first 16): 183e222a589a6bc4</w:t>
              <w:br/>
              <w:t>Historical predecessor only: 4. On the Origin of Observation - P2v8.docx | sha16 6bf3d4081841fd63</w:t>
            </w:r>
          </w:p>
        </w:tc>
        <w:tc>
          <w:tcPr>
            <w:tcW w:type="dxa" w:w="2376"/>
            <w:vAlign w:val="top"/>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pPr>
            <w:r>
              <w:rPr>
                <w:rFonts w:ascii="Arial" w:hAnsi="Arial" w:eastAsia="Arial" w:cs="Arial"/>
                <w:sz w:val="20"/>
                <w:szCs w:val="20"/>
              </w:rPr>
            </w:r>
            <w:r>
              <w:rPr>
                <w:b w:val="0"/>
                <w:rFonts w:ascii="Arial" w:hAnsi="Arial" w:eastAsia="Arial" w:cs="Arial"/>
                <w:sz w:val="20"/>
                <w:szCs w:val="20"/>
              </w:rPr>
              <w:t>On the Origin of Observation</w:t>
            </w:r>
          </w:p>
        </w:tc>
        <w:tc>
          <w:tcPr>
            <w:tcW w:type="dxa" w:w="6120"/>
            <w:vAlign w:val="top"/>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pPr>
            <w:r>
              <w:rPr>
                <w:rFonts w:ascii="Arial" w:hAnsi="Arial" w:eastAsia="Arial" w:cs="Arial"/>
                <w:sz w:val="20"/>
                <w:szCs w:val="20"/>
              </w:rPr>
            </w:r>
            <w:r>
              <w:rPr>
                <w:b w:val="0"/>
                <w:rFonts w:ascii="Arial" w:hAnsi="Arial" w:eastAsia="Arial" w:cs="Arial"/>
                <w:sz w:val="20"/>
                <w:szCs w:val="20"/>
              </w:rPr>
              <w:t>Observation as bounded registration; OR event; RAS record; Pre-TO, TO, OIP, NTO; observer-locus, Observer, Observer Event Horizon, and record-provenance.</w:t>
            </w:r>
          </w:p>
        </w:tc>
      </w:tr>
      <w:tr>
        <w:trPr>
          <w:cantSplit/>
        </w:trPr>
        <w:tc>
          <w:tcPr>
            <w:tcW w:type="dxa" w:w="1512"/>
            <w:vAlign w:val="top"/>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pPr>
            <w:r>
              <w:rPr>
                <w:rFonts w:ascii="Arial" w:hAnsi="Arial" w:eastAsia="Arial" w:cs="Arial"/>
                <w:sz w:val="20"/>
                <w:szCs w:val="20"/>
              </w:rPr>
            </w:r>
            <w:r>
              <w:rPr>
                <w:b w:val="0"/>
                <w:rFonts w:ascii="Arial" w:hAnsi="Arial" w:eastAsia="Arial" w:cs="Arial"/>
                <w:sz w:val="20"/>
                <w:szCs w:val="20"/>
              </w:rPr>
              <w:t>Part 2b / Paper 4a</w:t>
            </w:r>
          </w:p>
        </w:tc>
        <w:tc>
          <w:tcPr>
            <w:tcW w:type="dxa" w:w="4320"/>
            <w:vAlign w:val="top"/>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pPr>
            <w:r>
              <w:rPr>
                <w:rFonts w:ascii="Arial" w:hAnsi="Arial" w:eastAsia="Arial" w:cs="Arial"/>
                <w:sz w:val="20"/>
                <w:szCs w:val="20"/>
              </w:rPr>
              <w:t>GOT-V1-2b-4a - The Limits of Observation - Issue 1.docx</w:t>
              <w:br/>
              <w:t>Issue 1 SHA-256 (first 16): f99af6b8df811fa6</w:t>
              <w:br/>
              <w:t>Historical predecessor only: 4a. The Limits of Observation - P2v4.docx | sha16 6783e2a4c2434fdb</w:t>
            </w:r>
          </w:p>
        </w:tc>
        <w:tc>
          <w:tcPr>
            <w:tcW w:type="dxa" w:w="2376"/>
            <w:vAlign w:val="top"/>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pPr>
            <w:r>
              <w:rPr>
                <w:rFonts w:ascii="Arial" w:hAnsi="Arial" w:eastAsia="Arial" w:cs="Arial"/>
                <w:sz w:val="20"/>
                <w:szCs w:val="20"/>
              </w:rPr>
            </w:r>
            <w:r>
              <w:rPr>
                <w:b w:val="0"/>
                <w:rFonts w:ascii="Arial" w:hAnsi="Arial" w:eastAsia="Arial" w:cs="Arial"/>
                <w:sz w:val="20"/>
                <w:szCs w:val="20"/>
              </w:rPr>
              <w:t>The Limits of Observation</w:t>
            </w:r>
          </w:p>
        </w:tc>
        <w:tc>
          <w:tcPr>
            <w:tcW w:type="dxa" w:w="6120"/>
            <w:vAlign w:val="top"/>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pPr>
            <w:r>
              <w:rPr>
                <w:rFonts w:ascii="Arial" w:hAnsi="Arial" w:eastAsia="Arial" w:cs="Arial"/>
                <w:sz w:val="20"/>
                <w:szCs w:val="20"/>
              </w:rPr>
            </w:r>
            <w:r>
              <w:rPr>
                <w:b w:val="0"/>
                <w:rFonts w:ascii="Arial" w:hAnsi="Arial" w:eastAsia="Arial" w:cs="Arial"/>
                <w:sz w:val="20"/>
                <w:szCs w:val="20"/>
              </w:rPr>
              <w:t>Cut, abstraction regime, perspective, event-horizon profile, Abstraction Gap, relational uncertainty, and objectivity as disciplined correction.</w:t>
            </w:r>
          </w:p>
        </w:tc>
      </w:tr>
      <w:tr>
        <w:trPr>
          <w:cantSplit/>
        </w:trPr>
        <w:tc>
          <w:tcPr>
            <w:tcW w:type="dxa" w:w="1512"/>
            <w:vAlign w:val="top"/>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pPr>
            <w:r>
              <w:rPr>
                <w:rFonts w:ascii="Arial" w:hAnsi="Arial" w:eastAsia="Arial" w:cs="Arial"/>
                <w:sz w:val="20"/>
                <w:szCs w:val="20"/>
              </w:rPr>
            </w:r>
            <w:r>
              <w:rPr>
                <w:b w:val="0"/>
                <w:rFonts w:ascii="Arial" w:hAnsi="Arial" w:eastAsia="Arial" w:cs="Arial"/>
                <w:sz w:val="20"/>
                <w:szCs w:val="20"/>
              </w:rPr>
              <w:t>Part 2b / Paper 4b</w:t>
            </w:r>
          </w:p>
        </w:tc>
        <w:tc>
          <w:tcPr>
            <w:tcW w:type="dxa" w:w="4320"/>
            <w:vAlign w:val="top"/>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pPr>
            <w:r>
              <w:rPr>
                <w:rFonts w:ascii="Arial" w:hAnsi="Arial" w:eastAsia="Arial" w:cs="Arial"/>
                <w:sz w:val="20"/>
                <w:szCs w:val="20"/>
              </w:rPr>
              <w:t>GOT-V1-2b-4b - The Scale of Observation - Issue 1.docx</w:t>
              <w:br/>
              <w:t>Issue 1 SHA-256 (first 16): 184d8bcc2ca708ea</w:t>
              <w:br/>
              <w:t>Historical predecessor only: 4b. The Scale of Observation - P2v5.docx | sha16 1113c05ac8df8cce</w:t>
            </w:r>
          </w:p>
        </w:tc>
        <w:tc>
          <w:tcPr>
            <w:tcW w:type="dxa" w:w="2376"/>
            <w:vAlign w:val="top"/>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pPr>
            <w:r>
              <w:rPr>
                <w:rFonts w:ascii="Arial" w:hAnsi="Arial" w:eastAsia="Arial" w:cs="Arial"/>
                <w:sz w:val="20"/>
                <w:szCs w:val="20"/>
              </w:rPr>
            </w:r>
            <w:r>
              <w:rPr>
                <w:b w:val="0"/>
                <w:rFonts w:ascii="Arial" w:hAnsi="Arial" w:eastAsia="Arial" w:cs="Arial"/>
                <w:sz w:val="20"/>
                <w:szCs w:val="20"/>
              </w:rPr>
              <w:t>The Scale of Observation</w:t>
            </w:r>
          </w:p>
        </w:tc>
        <w:tc>
          <w:tcPr>
            <w:tcW w:type="dxa" w:w="6120"/>
            <w:vAlign w:val="top"/>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pPr>
            <w:r>
              <w:rPr>
                <w:rFonts w:ascii="Arial" w:hAnsi="Arial" w:eastAsia="Arial" w:cs="Arial"/>
                <w:sz w:val="20"/>
                <w:szCs w:val="20"/>
              </w:rPr>
            </w:r>
            <w:r>
              <w:rPr>
                <w:b w:val="0"/>
                <w:rFonts w:ascii="Arial" w:hAnsi="Arial" w:eastAsia="Arial" w:cs="Arial"/>
                <w:sz w:val="20"/>
                <w:szCs w:val="20"/>
              </w:rPr>
              <w:t>Scale as stabilised comparability; magnitude, reference scale, operative scale, measurement, Scale Gap, scalar alignment, and scalar objectivity.</w:t>
            </w:r>
          </w:p>
        </w:tc>
      </w:tr>
      <w:tr>
        <w:trPr>
          <w:cantSplit/>
        </w:trPr>
        <w:tc>
          <w:tcPr>
            <w:tcW w:type="dxa" w:w="1512"/>
            <w:vAlign w:val="top"/>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pPr>
            <w:r>
              <w:rPr>
                <w:rFonts w:ascii="Arial" w:hAnsi="Arial" w:eastAsia="Arial" w:cs="Arial"/>
                <w:sz w:val="20"/>
                <w:szCs w:val="20"/>
              </w:rPr>
            </w:r>
            <w:r>
              <w:rPr>
                <w:b w:val="0"/>
                <w:rFonts w:ascii="Arial" w:hAnsi="Arial" w:eastAsia="Arial" w:cs="Arial"/>
                <w:sz w:val="20"/>
                <w:szCs w:val="20"/>
              </w:rPr>
              <w:t>Part 2b / Paper 4c</w:t>
            </w:r>
          </w:p>
        </w:tc>
        <w:tc>
          <w:tcPr>
            <w:tcW w:type="dxa" w:w="4320"/>
            <w:vAlign w:val="top"/>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pPr>
            <w:r>
              <w:rPr>
                <w:rFonts w:ascii="Arial" w:hAnsi="Arial" w:eastAsia="Arial" w:cs="Arial"/>
                <w:sz w:val="20"/>
                <w:szCs w:val="20"/>
              </w:rPr>
              <w:t>GOT-V1-2b-4c - The Operational Envelope of Observation - Issue 1.docx</w:t>
              <w:br/>
              <w:t>Issue 1 SHA-256 (first 16): aa383c443babd127</w:t>
              <w:br/>
              <w:t>Historical predecessor only: 4c. The Operational Envelope of Observation - P2v9.docx | sha16 02a8f4e8d57e80d5</w:t>
            </w:r>
          </w:p>
        </w:tc>
        <w:tc>
          <w:tcPr>
            <w:tcW w:type="dxa" w:w="2376"/>
            <w:vAlign w:val="top"/>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pPr>
            <w:r>
              <w:rPr>
                <w:rFonts w:ascii="Arial" w:hAnsi="Arial" w:eastAsia="Arial" w:cs="Arial"/>
                <w:sz w:val="20"/>
                <w:szCs w:val="20"/>
              </w:rPr>
            </w:r>
            <w:r>
              <w:rPr>
                <w:b w:val="0"/>
                <w:rFonts w:ascii="Arial" w:hAnsi="Arial" w:eastAsia="Arial" w:cs="Arial"/>
                <w:sz w:val="20"/>
                <w:szCs w:val="20"/>
              </w:rPr>
              <w:t>The Operational Envelope of Observation</w:t>
            </w:r>
          </w:p>
        </w:tc>
        <w:tc>
          <w:tcPr>
            <w:tcW w:type="dxa" w:w="6120"/>
            <w:vAlign w:val="top"/>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pPr>
            <w:r>
              <w:rPr>
                <w:rFonts w:ascii="Arial" w:hAnsi="Arial" w:eastAsia="Arial" w:cs="Arial"/>
                <w:sz w:val="20"/>
                <w:szCs w:val="20"/>
              </w:rPr>
            </w:r>
            <w:r>
              <w:rPr>
                <w:b w:val="0"/>
                <w:rFonts w:ascii="Arial" w:hAnsi="Arial" w:eastAsia="Arial" w:cs="Arial"/>
                <w:sz w:val="20"/>
                <w:szCs w:val="20"/>
              </w:rPr>
              <w:t>Observation program and descriptor layer; OH, CH, RF, OBW, OD, OG, ODr, OL, OCx; threshold/performance separation and failure localisation.</w:t>
            </w:r>
          </w:p>
        </w:tc>
      </w:tr>
    </w:tbl>
    <w:p>
      <w:pPr>
        <w:keepNext/>
        <w:widowControl/>
        <w:spacing w:line="240" w:lineRule="auto" w:before="0" w:after="0"/>
      </w:pPr>
      <w:r>
        <w:rPr>
          <w:rFonts w:ascii="Arial" w:hAnsi="Arial" w:eastAsia="Arial" w:cs="Arial"/>
          <w:sz w:val="22"/>
        </w:rPr>
      </w:r>
    </w:p>
    <w:p>
      <w:pPr>
        <w:widowControl/>
      </w:pPr>
      <w:r>
        <w:rPr>
          <w:rFonts w:ascii="Arial" w:hAnsi="Arial" w:eastAsia="Arial" w:cs="Arial"/>
          <w:sz w:val="22"/>
        </w:rPr>
        <w:t xml:space="preserve">Source identity note: the current first-16 SHA-256 values for Paper 1c and all six Part 2b papers were recalculated from the available DOCX files, using the reissued Papers 2, 4a and 4c. Papers 1, 1a and 1b retain their recorded Issue 1 locks; their bytes and the earlier full manifests were not supplied for this reconciliation. Part_2_Issue_1_Support_Manifest.json records the verified full digests and marks those three retained locks without reconstructing missing digests. Historical predecessor locks and earlier change-log entries remain historical evidence.</w:t>
      </w:r>
    </w:p>
    <w:p>
      <w:pPr>
        <w:rPr>
          <w:rFonts w:ascii="Arial" w:hAnsi="Arial" w:eastAsia="Arial" w:cs="Arial"/>
          <w:sz w:val="22"/>
          <w:szCs w:val="22"/>
        </w:rPr>
        <w:pStyle w:val="Normal"/>
        <w:widowControl/>
        <w:spacing w:before="0" w:after="0" w:line="240" w:lineRule="auto"/>
        <w:keepNext/>
      </w:pPr>
    </w:p>
    <w:p>
      <w:pPr>
        <w:widowControl/>
      </w:pPr>
      <w:r>
        <w:rPr>
          <w:rFonts w:ascii="Arial" w:hAnsi="Arial" w:eastAsia="Arial" w:cs="Arial"/>
          <w:sz w:val="22"/>
        </w:rPr>
        <w:t>Paper 1c release alignment: the canonical Issue 1 manuscript contains 21 native endnotes, nine internal series references and six reused external works. Its direct conceptual sources are Papers 1, 1a and 1b; Part 2b references are downstream handoffs. The support stack preserves the manuscript's compositional scope and explicit evidence limits, including endnote 10 on the unsupported Plato attribution. Release identity does not establish that attribution, validate the illustrations empirically, or constitute a new external discovery audit. Bibliographic roles and limits are recorded in SD-04 as the downstream consolidation record, not as an upstream definition or hash dependency.</w:t>
      </w:r>
    </w:p>
    <w:p>
      <w:pPr>
        <w:widowControl/>
        <w:rPr>
          <w:rFonts w:ascii="Arial" w:hAnsi="Arial" w:eastAsia="Arial" w:cs="Arial"/>
          <w:sz w:val="24"/>
          <w:szCs w:val="24"/>
          <w:b w:val="1"/>
          <w:color w:val="1F4E79"/>
        </w:rPr>
        <w:pStyle w:val="Heading2"/>
        <w:keepNext/>
        <w:keepLines/>
      </w:pPr>
      <w:r>
        <w:rPr>
          <w:rFonts w:ascii="Arial" w:hAnsi="Arial" w:eastAsia="Arial" w:cs="Arial"/>
          <w:sz w:val="24"/>
          <w:szCs w:val="24"/>
          <w:b w:val="1"/>
          <w:color w:val="1F4E79"/>
        </w:rPr>
        <w:t>0.2 Part-level support-control chain</w:t>
      </w:r>
    </w:p>
    <w:p>
      <w:pPr>
        <w:widowControl/>
        <w:rPr>
          <w:rFonts w:ascii="Arial" w:hAnsi="Arial" w:eastAsia="Arial" w:cs="Arial"/>
          <w:sz w:val="22"/>
          <w:szCs w:val="22"/>
        </w:rPr>
      </w:pPr>
      <w:r>
        <w:rPr>
          <w:rFonts w:ascii="Arial" w:hAnsi="Arial" w:eastAsia="Arial" w:cs="Arial"/>
          <w:sz w:val="22"/>
          <w:szCs w:val="22"/>
        </w:rPr>
        <w:t>SD-01 is first in the Part 2 support-control chain and has no earlier Part 2 support-document dependency. The ten source-locked canonical papers govern technical use. The release order is SD-01 -&gt; SD-02 -&gt; SD-03 -&gt; SD-04. Downstream mentions are navigation only. This document's own final digest and all four support identities are held in the companion release manifest, not embedded as self-referential locks.</w:t>
      </w:r>
    </w:p>
    <w:p>
      <w:pPr>
        <w:widowControl/>
        <w:rPr>
          <w:rFonts w:ascii="Arial" w:hAnsi="Arial" w:eastAsia="Arial" w:cs="Arial"/>
          <w:sz w:val="22"/>
          <w:szCs w:val="22"/>
        </w:rPr>
      </w:pPr>
      <w:r>
        <w:rPr>
          <w:rFonts w:ascii="Arial" w:hAnsi="Arial" w:eastAsia="Arial" w:cs="Arial"/>
          <w:sz w:val="22"/>
          <w:szCs w:val="22"/>
        </w:rPr>
        <w:t>Inherited Part 1 support controls remain limited to the uses already permitted by the source documents: NTC, BD, IPL, comparator/localisation discipline, and support-document template/control practice. Part 1 life-attribution classes are not imported into Part 2 statuses.</w:t>
      </w:r>
    </w:p>
    <w:p>
      <w:pPr>
        <w:widowControl/>
        <w:rPr>
          <w:rFonts w:ascii="Arial" w:hAnsi="Arial" w:eastAsia="Arial" w:cs="Arial"/>
          <w:sz w:val="22"/>
          <w:szCs w:val="22"/>
        </w:rPr>
      </w:pPr>
      <w:r>
        <w:rPr>
          <w:rFonts w:ascii="Arial" w:hAnsi="Arial" w:eastAsia="Arial" w:cs="Arial"/>
          <w:sz w:val="22"/>
          <w:szCs w:val="22"/>
        </w:rPr>
        <w:t>Excluded source class: superseded Part 2 paper revisions; separate pre-release Part 2a/Part 2b support wording where it conflicts with current canonical papers or this consolidated control path; exported full-series TEM material; future Part 3 unknown-handling procedures except explicit handoff; prior generated answers; and unverified or unadmitted external material. Bibliographic apparatus does not create technical inheritance or move canonical ownership.</w:t>
      </w:r>
    </w:p>
    <w:p>
      <w:pPr>
        <w:widowControl/>
        <w:rPr>
          <w:rFonts w:ascii="Arial" w:hAnsi="Arial" w:eastAsia="Arial" w:cs="Arial"/>
          <w:sz w:val="24"/>
          <w:szCs w:val="24"/>
          <w:b w:val="1"/>
          <w:color w:val="1F4E79"/>
        </w:rPr>
        <w:pStyle w:val="Heading2"/>
        <w:keepNext/>
        <w:keepLines/>
      </w:pPr>
      <w:r>
        <w:rPr>
          <w:rFonts w:ascii="Arial" w:hAnsi="Arial" w:eastAsia="Arial" w:cs="Arial"/>
          <w:sz w:val="24"/>
          <w:szCs w:val="24"/>
          <w:b w:val="1"/>
          <w:color w:val="1F4E79"/>
        </w:rPr>
        <w:t>0.3 Internal subdivision map</w:t>
      </w:r>
    </w:p>
    <w:p>
      <w:pPr>
        <w:widowControl/>
        <w:rPr>
          <w:rFonts w:ascii="Arial" w:hAnsi="Arial" w:eastAsia="Arial" w:cs="Arial"/>
          <w:sz w:val="22"/>
          <w:szCs w:val="22"/>
        </w:rPr>
      </w:pPr>
      <w:r>
        <w:rPr>
          <w:rFonts w:ascii="Arial" w:hAnsi="Arial" w:eastAsia="Arial" w:cs="Arial"/>
          <w:sz w:val="22"/>
          <w:szCs w:val="22"/>
        </w:rPr>
        <w:t xml:space="preserve">Part 2a - Informational Architecture: Papers 1, 1a, 1b, and 1c. Part 2b - Knowledge, Intelligence, and Observation: Papers 2, 3, 4, 4a, 4b, and 4c. The internal sections below retain the pre-release subpart support architecture under this single Part-level control.</w:t>
      </w:r>
    </w:p>
    <w:p>
      <w:pPr>
        <w:pageBreakBefore/>
        <w:widowControl/>
        <w:rPr>
          <w:rFonts w:ascii="Arial" w:hAnsi="Arial" w:eastAsia="Arial" w:cs="Arial"/>
          <w:sz w:val="30"/>
          <w:szCs w:val="30"/>
          <w:b w:val="1"/>
          <w:color w:val="1F4E79"/>
        </w:rPr>
        <w:pStyle w:val="Heading1"/>
        <w:keepNext/>
        <w:keepLines/>
      </w:pPr>
      <w:r>
        <w:rPr>
          <w:rFonts w:ascii="Arial" w:hAnsi="Arial" w:eastAsia="Arial" w:cs="Arial"/>
          <w:sz w:val="30"/>
          <w:szCs w:val="30"/>
          <w:b w:val="1"/>
          <w:color w:val="1F4E79"/>
        </w:rPr>
        <w:t>Part 2a - Informational Architecture</w:t>
      </w:r>
    </w:p>
    <w:p>
      <w:pPr>
        <w:widowControl/>
        <w:rPr>
          <w:rFonts w:ascii="Arial" w:hAnsi="Arial" w:eastAsia="Arial" w:cs="Arial"/>
          <w:sz w:val="22"/>
          <w:szCs w:val="22"/>
        </w:rPr>
      </w:pPr>
      <w:r>
        <w:rPr>
          <w:i/>
          <w:rFonts w:ascii="Arial" w:hAnsi="Arial" w:eastAsia="Arial" w:cs="Arial"/>
          <w:sz w:val="22"/>
          <w:szCs w:val="22"/>
        </w:rPr>
        <w:t xml:space="preserve">Internal Part 2a support section. Papers 1, 1a, 1b, and 1c govern this region. Part 2b terms may appear only as downstream handoff unless the source text explicitly marks a broader bridge use.</w:t>
      </w:r>
    </w:p>
    <w:p>
      <w:pPr>
        <w:rPr>
          <w:rFonts w:ascii="Arial" w:hAnsi="Arial" w:eastAsia="Arial" w:cs="Arial"/>
          <w:sz w:val="30"/>
          <w:szCs w:val="30"/>
          <w:b w:val="1"/>
          <w:color w:val="1F4E79"/>
        </w:rPr>
        <w:pStyle w:val="Heading1"/>
        <w:widowControl/>
        <w:spacing w:before="80" w:after="40" w:line="240" w:lineRule="auto"/>
        <w:keepNext/>
        <w:keepLines/>
      </w:pPr>
      <w:r>
        <w:rPr>
          <w:rFonts w:ascii="Arial" w:hAnsi="Arial" w:eastAsia="Arial" w:cs="Arial"/>
          <w:sz w:val="30"/>
          <w:szCs w:val="30"/>
          <w:b w:val="1"/>
          <w:color w:val="1F4E79"/>
        </w:rPr>
        <w:t>0. Status, function, and source discipline</w:t>
      </w:r>
    </w:p>
    <w:p>
      <w:pPr>
        <w:rPr>
          <w:rFonts w:ascii="Arial" w:hAnsi="Arial" w:eastAsia="Arial" w:cs="Arial"/>
          <w:sz w:val="22"/>
          <w:szCs w:val="22"/>
        </w:rPr>
        <w:widowControl/>
        <w:spacing w:after="40" w:before="0" w:line="240" w:lineRule="auto"/>
      </w:pPr>
      <w:r>
        <w:rPr>
          <w:rFonts w:ascii="Arial" w:hAnsi="Arial" w:eastAsia="Arial" w:cs="Arial"/>
          <w:sz w:val="22"/>
          <w:szCs w:val="22"/>
        </w:rPr>
        <w:t>This internal Part 2a section is the controlled Concept Compression Map for Part 2a: Informational Architecture (From Substrate to Phenomenology). It is not an additional canonical paper. It compresses the four-paper source set: Paper 1 and its attached extensions 1a, 1b, and 1c.</w:t>
      </w:r>
    </w:p>
    <w:p>
      <w:pPr>
        <w:rPr>
          <w:rFonts w:ascii="Arial" w:hAnsi="Arial" w:eastAsia="Arial" w:cs="Arial"/>
          <w:sz w:val="22"/>
          <w:szCs w:val="22"/>
        </w:rPr>
        <w:widowControl/>
        <w:spacing w:after="40" w:before="0" w:line="240" w:lineRule="auto"/>
      </w:pPr>
      <w:r>
        <w:rPr>
          <w:rFonts w:ascii="Arial" w:hAnsi="Arial" w:eastAsia="Arial" w:cs="Arial"/>
          <w:sz w:val="22"/>
          <w:szCs w:val="22"/>
        </w:rPr>
        <w:t>The map follows physically supported difference through preserved contrast and RRP-indexed distinction into finite target/model/residual discipline, then makes the physical instantiation, historical reachability, and distributed continuity of those relations explicit through Paper 1c. This does not convert finite access into subjectivism, complete possession, or an additional primitive sequence.</w:t>
      </w:r>
    </w:p>
    <w:p>
      <w:pPr>
        <w:rPr>
          <w:rFonts w:ascii="Arial" w:hAnsi="Arial" w:eastAsia="Arial" w:cs="Arial"/>
          <w:sz w:val="22"/>
          <w:szCs w:val="22"/>
        </w:rPr>
        <w:widowControl/>
        <w:spacing w:after="40" w:before="0" w:line="240" w:lineRule="auto"/>
      </w:pPr>
      <w:r>
        <w:rPr>
          <w:rFonts w:ascii="Arial" w:hAnsi="Arial" w:eastAsia="Arial" w:cs="Arial"/>
          <w:sz w:val="22"/>
          <w:szCs w:val="22"/>
        </w:rPr>
        <w:t>Where this document uses compressed language, the corresponding primary paper governs technical use. Support shorthand must never become a new definition.</w:t>
      </w:r>
    </w:p>
    <w:p>
      <w:pPr>
        <w:rPr>
          <w:rFonts w:ascii="Arial" w:hAnsi="Arial" w:eastAsia="Arial" w:cs="Arial"/>
          <w:sz w:val="22"/>
          <w:szCs w:val="22"/>
        </w:rPr>
        <w:widowControl/>
        <w:spacing w:after="40" w:before="0" w:line="240" w:lineRule="auto"/>
      </w:pPr>
      <w:r>
        <w:rPr>
          <w:rFonts w:ascii="Arial" w:hAnsi="Arial" w:eastAsia="Arial" w:cs="Arial"/>
          <w:sz w:val="22"/>
          <w:szCs w:val="22"/>
        </w:rPr>
        <w:t>This Issue 1 copy uses the released Papers 1, 1a, 1b and 1c identified and source-locked in 0.1. It preserves scoped information for a locus and the non-stage status of persistence, propagation and residue. Paper 1c adds physical interpretation and derived relations; it does not replace OP, OA, OR, RAS or RSD.</w:t>
      </w:r>
    </w:p>
    <w:p>
      <w:pPr>
        <w:rPr>
          <w:rFonts w:ascii="Arial" w:hAnsi="Arial" w:eastAsia="Arial" w:cs="Arial"/>
          <w:sz w:val="30"/>
          <w:szCs w:val="30"/>
          <w:b w:val="1"/>
          <w:color w:val="1F4E79"/>
        </w:rPr>
        <w:pStyle w:val="Heading1"/>
        <w:widowControl/>
        <w:spacing w:before="80" w:after="40" w:line="240" w:lineRule="auto"/>
        <w:keepNext/>
        <w:keepLines/>
      </w:pPr>
      <w:r>
        <w:rPr>
          <w:rFonts w:ascii="Arial" w:hAnsi="Arial" w:eastAsia="Arial" w:cs="Arial"/>
          <w:sz w:val="30"/>
          <w:szCs w:val="30"/>
          <w:b w:val="1"/>
          <w:color w:val="1F4E79"/>
        </w:rPr>
        <w:t>1. Part compression in one sentence</w:t>
      </w:r>
    </w:p>
    <w:p>
      <w:pPr>
        <w:rPr>
          <w:rFonts w:ascii="Arial" w:hAnsi="Arial" w:eastAsia="Arial" w:cs="Arial"/>
          <w:sz w:val="22"/>
          <w:szCs w:val="22"/>
        </w:rPr>
        <w:widowControl/>
        <w:spacing w:after="40" w:before="0" w:line="240" w:lineRule="auto"/>
      </w:pPr>
      <w:r>
        <w:rPr>
          <w:b/>
          <w:rFonts w:ascii="Arial" w:hAnsi="Arial" w:eastAsia="Arial" w:cs="Arial"/>
          <w:sz w:val="22"/>
          <w:szCs w:val="22"/>
        </w:rPr>
        <w:t>Part 2a grounds finite, target-constrained, residual-bearing access in physically preserved contrast and RRP-indexed distinction, then shows how OA-keyed retention embodies relation, reshapes what a locus can reach, and participates in distributed Relational Form within a wider physical relational index without giving any locus possession of the whole.</w:t>
      </w:r>
    </w:p>
    <w:p>
      <w:pPr>
        <w:rPr>
          <w:rFonts w:ascii="Arial" w:hAnsi="Arial" w:eastAsia="Arial" w:cs="Arial"/>
          <w:sz w:val="30"/>
          <w:szCs w:val="30"/>
          <w:b w:val="1"/>
          <w:color w:val="1F4E79"/>
        </w:rPr>
        <w:pStyle w:val="Heading1"/>
        <w:widowControl/>
        <w:spacing w:before="80" w:after="40" w:line="240" w:lineRule="auto"/>
        <w:keepNext/>
        <w:keepLines/>
      </w:pPr>
      <w:r>
        <w:rPr>
          <w:rFonts w:ascii="Arial" w:hAnsi="Arial" w:eastAsia="Arial" w:cs="Arial"/>
          <w:sz w:val="30"/>
          <w:szCs w:val="30"/>
          <w:b w:val="1"/>
          <w:color w:val="1F4E79"/>
        </w:rPr>
        <w:t>2. Core compression</w:t>
      </w:r>
    </w:p>
    <w:p>
      <w:pPr>
        <w:rPr>
          <w:rFonts w:ascii="Arial" w:hAnsi="Arial" w:eastAsia="Arial" w:cs="Arial"/>
          <w:sz w:val="22"/>
          <w:szCs w:val="22"/>
        </w:rPr>
        <w:widowControl/>
        <w:spacing w:after="40" w:before="0" w:line="240" w:lineRule="auto"/>
      </w:pPr>
      <w:r>
        <w:rPr>
          <w:rFonts w:ascii="Arial" w:hAnsi="Arial" w:eastAsia="Arial" w:cs="Arial"/>
          <w:sz w:val="22"/>
          <w:szCs w:val="22"/>
        </w:rPr>
        <w:t>Paper 1 begins by disciplining RRP-indexed operational information for a locus. A physical difference does not establish that status merely because it exists, persists, can be described, or can be interpreted by an external observer. The same state may already be informational under a legitimate thermodynamic, statistical, physical, Shannon, or other regime. For the evaluated locus, informational status becomes established only where difference is relationally available as operational distinction under reference conditions that make availability, classing, registration, retention, and possible redeployment well-posed.</w:t>
      </w:r>
    </w:p>
    <w:p>
      <w:pPr>
        <w:rPr>
          <w:rFonts w:ascii="Arial" w:hAnsi="Arial" w:eastAsia="Arial" w:cs="Arial"/>
          <w:sz w:val="22"/>
          <w:szCs w:val="22"/>
        </w:rPr>
        <w:widowControl/>
        <w:spacing w:after="40" w:before="0" w:line="240" w:lineRule="auto"/>
      </w:pPr>
      <w:r>
        <w:rPr>
          <w:rFonts w:ascii="Arial" w:hAnsi="Arial" w:eastAsia="Arial" w:cs="Arial"/>
          <w:sz w:val="22"/>
          <w:szCs w:val="22"/>
        </w:rPr>
        <w:t>The central architecture is the RRP Set. RRP fixes the reference node. OP supplies available contrast. OA classes available contrast. OR registers one classed alternative into state. RAS retains the registered distinction. RSD redeploys retained distinction into later branch-realisation. These elements do not add a new ontology; they name the operational relay through which finite loci become answerable to reality through relation.</w:t>
      </w:r>
    </w:p>
    <w:p>
      <w:pPr>
        <w:rPr>
          <w:rFonts w:ascii="Arial" w:hAnsi="Arial" w:eastAsia="Arial" w:cs="Arial"/>
          <w:sz w:val="22"/>
          <w:szCs w:val="22"/>
        </w:rPr>
        <w:widowControl/>
        <w:spacing w:after="40" w:before="0" w:line="240" w:lineRule="auto"/>
      </w:pPr>
      <w:r>
        <w:rPr>
          <w:rFonts w:ascii="Arial" w:hAnsi="Arial" w:eastAsia="Arial" w:cs="Arial"/>
          <w:sz w:val="22"/>
          <w:szCs w:val="22"/>
        </w:rPr>
        <w:t>The governing access principle is realist but bounded: reality is not created by the locus, and reality is not possessed whole by the locus. A finite locus encounters reality through boundary, interface, channel, threshold, scale, discrimination regime, abstraction, registration, retention, and possible redeployment. The relation is relative. The constraint is real.</w:t>
      </w:r>
    </w:p>
    <w:p>
      <w:pPr>
        <w:rPr>
          <w:rFonts w:ascii="Arial" w:hAnsi="Arial" w:eastAsia="Arial" w:cs="Arial"/>
          <w:sz w:val="22"/>
          <w:szCs w:val="22"/>
        </w:rPr>
        <w:widowControl/>
        <w:spacing w:after="40" w:before="0" w:line="240" w:lineRule="auto"/>
      </w:pPr>
      <w:r>
        <w:rPr>
          <w:rFonts w:ascii="Arial" w:hAnsi="Arial" w:eastAsia="Arial" w:cs="Arial"/>
          <w:sz w:val="22"/>
          <w:szCs w:val="22"/>
        </w:rPr>
        <w:t>Paper 1a grounds the physical path into the architecture. Interaction produces physical variation. Variation may persist locally, propagate, or leave a physical residue, but persistence, propagation, and residue are physical properties rather than informational stages. Variation becomes signal-bearing only where contrast is preserved through a medium under possible discrimination conditions. Signal-bearing contrast may become channel-discriminable where channel, alphabet, noise, and receiver or locus conditions are satisfied. It becomes RRP-indexed operational information for the evaluated locus only where it is available as distinction under the relevant RRP conditions.</w:t>
      </w:r>
    </w:p>
    <w:p>
      <w:pPr>
        <w:rPr>
          <w:rFonts w:ascii="Arial" w:hAnsi="Arial" w:eastAsia="Arial" w:cs="Arial"/>
          <w:sz w:val="22"/>
          <w:szCs w:val="22"/>
        </w:rPr>
        <w:widowControl/>
        <w:spacing w:after="40" w:before="0" w:line="240" w:lineRule="auto"/>
      </w:pPr>
      <w:r>
        <w:rPr>
          <w:rFonts w:ascii="Arial" w:hAnsi="Arial" w:eastAsia="Arial" w:cs="Arial"/>
          <w:sz w:val="22"/>
          <w:szCs w:val="22"/>
        </w:rPr>
        <w:t>Signal is therefore neither primitive RRP-indexed information nor mere variation. It is physical variation preserved as contrast through a medium under conditions in which discrimination may become possible. A Shannon channel may already support a valid channel-relative informational description; RRP asks the further question of operational availability for the locus under evaluation. Signal alone is weaker than RAS because retention has not been shown and weaker than NTC because comparator-stable downstream dependence has not been established.</w:t>
      </w:r>
    </w:p>
    <w:p>
      <w:pPr>
        <w:rPr>
          <w:rFonts w:ascii="Arial" w:hAnsi="Arial" w:eastAsia="Arial" w:cs="Arial"/>
          <w:sz w:val="22"/>
          <w:szCs w:val="22"/>
        </w:rPr>
        <w:widowControl/>
        <w:spacing w:after="40" w:before="0" w:line="240" w:lineRule="auto"/>
      </w:pPr>
      <w:r>
        <w:rPr>
          <w:rFonts w:ascii="Arial" w:hAnsi="Arial" w:eastAsia="Arial" w:cs="Arial"/>
          <w:sz w:val="22"/>
          <w:szCs w:val="22"/>
        </w:rPr>
        <w:t>Paper 1a also names the Locus Event Horizon: the ingress-boundary beyond which external difference cannot become signal-bearing contrast capable of entering OP for the locus under the present regime. This is not an edge of reality, an epistemic excuse, or a performance descriptor. It is the access boundary of possible incoming relation for a finite locus.</w:t>
      </w:r>
    </w:p>
    <w:p>
      <w:pPr>
        <w:rPr>
          <w:rFonts w:ascii="Arial" w:hAnsi="Arial" w:eastAsia="Arial" w:cs="Arial"/>
          <w:sz w:val="22"/>
          <w:szCs w:val="22"/>
        </w:rPr>
        <w:widowControl/>
        <w:spacing w:after="40" w:before="0" w:line="240" w:lineRule="auto"/>
      </w:pPr>
      <w:r>
        <w:rPr>
          <w:rFonts w:ascii="Arial" w:hAnsi="Arial" w:eastAsia="Arial" w:cs="Arial"/>
          <w:sz w:val="22"/>
          <w:szCs w:val="22"/>
        </w:rPr>
        <w:t>Paper 1b draws the realism-facing consequence. Unindexed realism is unstable because the real depends on contrast with the unreal while the unreal returns as experience, fiction, possibility, absence, institution, model, norm, error condition, or political force. The question is not simply whether something is real. It is real as what, for what locus, through what access relation, at what scale, over what horizon, under what comparator, and with what residual.</w:t>
      </w:r>
    </w:p>
    <w:p>
      <w:pPr>
        <w:rPr>
          <w:rFonts w:ascii="Arial" w:hAnsi="Arial" w:eastAsia="Arial" w:cs="Arial"/>
          <w:sz w:val="22"/>
          <w:szCs w:val="22"/>
        </w:rPr>
        <w:widowControl/>
        <w:spacing w:after="40" w:before="0" w:line="240" w:lineRule="auto"/>
      </w:pPr>
      <w:r>
        <w:rPr>
          <w:rFonts w:ascii="Arial" w:hAnsi="Arial" w:eastAsia="Arial" w:cs="Arial"/>
          <w:sz w:val="22"/>
          <w:szCs w:val="22"/>
        </w:rPr>
        <w:t>Reference-indexed realism holds that realism claims are finite models of ontological targets formed through the RRP scaffold. The target constrains what can be preserved. The observer constricts what can be accessed, classed, registered, retained, and redeployed. The RRP scaffold couples them. The model approximates the target without exhausting it. The residual prevents premature closure.</w:t>
      </w:r>
    </w:p>
    <w:p>
      <w:pPr>
        <w:widowControl/>
      </w:pPr>
      <w:r>
        <w:rPr>
          <w:rFonts w:ascii="Arial" w:hAnsi="Arial" w:eastAsia="Arial" w:cs="Arial"/>
          <w:sz w:val="22"/>
        </w:rPr>
        <w:t>Paper 1c makes the physical account explicit. The relational index is the wider physical depth and extension of relation, not a reference coordinate or an inventory possessed by a locus. Target and locus are local cuts within that index. Their inherited histories constrain coupling, and the coupling itself produces new relation (Paper 1c, headings 1.1-2.2).</w:t>
      </w:r>
    </w:p>
    <w:p>
      <w:pPr>
        <w:widowControl/>
      </w:pPr>
      <w:r>
        <w:rPr>
          <w:rFonts w:ascii="Arial" w:hAnsi="Arial" w:eastAsia="Arial" w:cs="Arial"/>
          <w:sz w:val="22"/>
        </w:rPr>
        <w:t>Abstraction makes finite grounding possible. OP supplies contrast; OA classes it; OR selects an alternative into state; RAS retains the OA-keyed distinction. Embodiment describes the physical significance already entailed by such retention. It is neither another status nor an additional condition after RAS, and ordinary physical residue remains insufficient without the local OP/OA/OR/retention relation (Paper 1c, heading 2.3).</w:t>
      </w:r>
    </w:p>
    <w:p>
      <w:pPr>
        <w:widowControl/>
      </w:pPr>
      <w:r>
        <w:rPr>
          <w:rFonts w:ascii="Arial" w:hAnsi="Arial" w:eastAsia="Arial" w:cs="Arial"/>
          <w:sz w:val="22"/>
        </w:rPr>
        <w:t>Relational Reachability is the derived, reference-conditioned capacity of a locus, given its present organisation and available scaffolding, to stabilise a target-relative relation immediately or through physically supported intermediate relations. It concerns formation, whereas the Locus Event Horizon concerns ingress. A carrier can be encountered and registered while a higher-order relation remains unreachable under the present regime (Paper 1c, heading 2.4).</w:t>
      </w:r>
    </w:p>
    <w:p>
      <w:pPr>
        <w:widowControl/>
      </w:pPr>
      <w:r>
        <w:rPr>
          <w:rFonts w:ascii="Arial" w:hAnsi="Arial" w:eastAsia="Arial" w:cs="Arial"/>
          <w:sz w:val="22"/>
        </w:rPr>
        <w:t>Relational Form is the sum total of distributed relations tracking the same physically grounded distinction, including physically organised potential for later instances. It may be concentrated or diffuse across targets, loci, substrates, and time. It is not the whole relational index, a complete finite model, an immutable ideal template, or a distributed Observer by default. Target-related error can be physically retained without becoming a true property of the target (Paper 1c, headings 3.1-4.3 and 7.1).</w:t>
      </w:r>
    </w:p>
    <w:p>
      <w:pPr>
        <w:widowControl/>
      </w:pPr>
      <w:r>
        <w:rPr>
          <w:rFonts w:ascii="Arial" w:hAnsi="Arial" w:eastAsia="Arial" w:cs="Arial"/>
          <w:sz w:val="22"/>
        </w:rPr>
        <w:t>Relational propagation preserves causal provenance and sufficient target-relevant constraint through changing carriers; it does not transport a completed meaning intact. A receiving locus must support its own coupling, classing, registration, and any claimed retention or redeployment. Representation is a later standing-for relation and may fail even where the carrier is present. Residual includes uncertain provenance and unestablished reachability as well as unpreserved target structure (Paper 1c, headings 4.1-5.3).</w:t>
      </w:r>
    </w:p>
    <w:p>
      <w:pPr>
        <w:rPr>
          <w:rFonts w:ascii="Arial" w:hAnsi="Arial" w:eastAsia="Arial" w:cs="Arial"/>
          <w:sz w:val="22"/>
          <w:szCs w:val="22"/>
        </w:rPr>
        <w:widowControl/>
        <w:spacing w:after="40" w:before="0" w:line="240" w:lineRule="auto"/>
      </w:pPr>
      <w:r>
        <w:rPr>
          <w:rFonts w:ascii="Arial" w:hAnsi="Arial" w:eastAsia="Arial" w:cs="Arial"/>
          <w:sz w:val="22"/>
          <w:szCs w:val="22"/>
        </w:rPr>
        <w:t>Part 2a supplies the conceptual introduction and physical grounding for Part 2. Its support compression must preserve the distinctions among primitive operations, physical embodiment, derived reachability, distributed Form, finite model, and residual. None creates a shortcut to the knowledge, intelligence, or technical observation statuses owned by Part 2b.</w:t>
      </w:r>
    </w:p>
    <w:p>
      <w:pPr>
        <w:rPr>
          <w:rFonts w:ascii="Arial" w:hAnsi="Arial" w:eastAsia="Arial" w:cs="Arial"/>
          <w:sz w:val="30"/>
          <w:szCs w:val="30"/>
          <w:b w:val="1"/>
          <w:color w:val="1F4E79"/>
        </w:rPr>
        <w:pStyle w:val="Heading1"/>
        <w:widowControl/>
        <w:spacing w:before="80" w:after="40" w:line="240" w:lineRule="auto"/>
        <w:keepNext/>
        <w:keepLines/>
      </w:pPr>
      <w:r>
        <w:rPr>
          <w:rFonts w:ascii="Arial" w:hAnsi="Arial" w:eastAsia="Arial" w:cs="Arial"/>
          <w:sz w:val="30"/>
          <w:szCs w:val="30"/>
          <w:b w:val="1"/>
          <w:color w:val="1F4E79"/>
        </w:rPr>
        <w:t>3. Exportable compression-map schema</w:t>
      </w:r>
    </w:p>
    <w:tbl>
      <w:tblPr>
        <w:tblW w:type="auto" w:w="0"/>
        <w:jc w:val="center"/>
        <w:tblLayout w:type="autofit"/>
        <w:tblLook w:firstColumn="1" w:firstRow="1" w:lastColumn="0" w:lastRow="0" w:noHBand="0" w:noVBand="1" w:val="04A0"/>
        <w:tblBorders>
          <w:top w:val="single" w:sz="4" w:color="7F7F7F"/>
          <w:left w:val="single" w:sz="4" w:color="7F7F7F"/>
          <w:bottom w:val="single" w:sz="4" w:color="7F7F7F"/>
          <w:right w:val="single" w:sz="4" w:color="7F7F7F"/>
          <w:insideH w:val="single" w:sz="4" w:color="7F7F7F"/>
          <w:insideV w:val="single" w:sz="4" w:color="7F7F7F"/>
        </w:tblBorders>
      </w:tblPr>
      <w:tblGrid>
        <w:gridCol w:w="3636"/>
        <w:gridCol w:w="3636"/>
        <w:gridCol w:w="3636"/>
        <w:gridCol w:w="3636"/>
      </w:tblGrid>
      <w:tr>
        <w:trPr>
          <w:tblHeader w:val="1"/>
        </w:trPr>
        <w:tc>
          <w:tcPr>
            <w:tcW w:type="dxa" w:w="936"/>
            <w:vAlign w:val="top"/>
            <w:shd w:fill="D9EAF7" w:val="clear"/>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before="0" w:line="240" w:lineRule="auto"/>
            </w:pPr>
            <w:r>
              <w:rPr>
                <w:rFonts w:ascii="Arial" w:hAnsi="Arial" w:eastAsia="Arial" w:cs="Arial"/>
                <w:sz w:val="20"/>
                <w:szCs w:val="20"/>
                <w:b/>
              </w:rPr>
              <w:t>Section ID</w:t>
            </w:r>
          </w:p>
        </w:tc>
        <w:tc>
          <w:tcPr>
            <w:tcW w:type="dxa" w:w="2880"/>
            <w:vAlign w:val="top"/>
            <w:shd w:fill="D9EAF7" w:val="clear"/>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before="0" w:line="240" w:lineRule="auto"/>
            </w:pPr>
            <w:r>
              <w:rPr>
                <w:rFonts w:ascii="Arial" w:hAnsi="Arial" w:eastAsia="Arial" w:cs="Arial"/>
                <w:sz w:val="20"/>
                <w:szCs w:val="20"/>
                <w:b/>
              </w:rPr>
              <w:t>Required section</w:t>
            </w:r>
          </w:p>
        </w:tc>
        <w:tc>
          <w:tcPr>
            <w:tcW w:type="dxa" w:w="4608"/>
            <w:vAlign w:val="top"/>
            <w:shd w:fill="D9EAF7" w:val="clear"/>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before="0" w:line="240" w:lineRule="auto"/>
            </w:pPr>
            <w:r>
              <w:rPr>
                <w:rFonts w:ascii="Arial" w:hAnsi="Arial" w:eastAsia="Arial" w:cs="Arial"/>
                <w:sz w:val="20"/>
                <w:szCs w:val="20"/>
                <w:b/>
              </w:rPr>
              <w:t>Function</w:t>
            </w:r>
          </w:p>
        </w:tc>
        <w:tc>
          <w:tcPr>
            <w:tcW w:type="dxa" w:w="5904"/>
            <w:vAlign w:val="top"/>
            <w:shd w:fill="D9EAF7" w:val="clear"/>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before="0" w:line="240" w:lineRule="auto"/>
            </w:pPr>
            <w:r>
              <w:rPr>
                <w:rFonts w:ascii="Arial" w:hAnsi="Arial" w:eastAsia="Arial" w:cs="Arial"/>
                <w:sz w:val="20"/>
                <w:szCs w:val="20"/>
                <w:b/>
              </w:rPr>
              <w:t>Issue 1 instruction</w:t>
            </w:r>
          </w:p>
        </w:tc>
      </w:tr>
      <w:tr>
        <w:trPr/>
        <w:tc>
          <w:tcPr>
            <w:tcW w:type="dxa" w:w="936"/>
            <w:vAlign w:val="top"/>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before="0" w:line="240" w:lineRule="auto"/>
            </w:pPr>
            <w:r>
              <w:rPr>
                <w:b w:val="0"/>
                <w:rFonts w:ascii="Arial" w:hAnsi="Arial" w:eastAsia="Arial" w:cs="Arial"/>
                <w:sz w:val="20"/>
                <w:szCs w:val="20"/>
              </w:rPr>
              <w:t>0</w:t>
            </w:r>
          </w:p>
        </w:tc>
        <w:tc>
          <w:tcPr>
            <w:tcW w:type="dxa" w:w="2880"/>
            <w:vAlign w:val="top"/>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before="0" w:line="240" w:lineRule="auto"/>
            </w:pPr>
            <w:r>
              <w:rPr>
                <w:b w:val="0"/>
                <w:rFonts w:ascii="Arial" w:hAnsi="Arial" w:eastAsia="Arial" w:cs="Arial"/>
                <w:sz w:val="20"/>
                <w:szCs w:val="20"/>
              </w:rPr>
              <w:t>Status, function, and source discipline</w:t>
            </w:r>
          </w:p>
        </w:tc>
        <w:tc>
          <w:tcPr>
            <w:tcW w:type="dxa" w:w="4608"/>
            <w:vAlign w:val="top"/>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before="0" w:line="240" w:lineRule="auto"/>
            </w:pPr>
            <w:r>
              <w:rPr>
                <w:b w:val="0"/>
                <w:rFonts w:ascii="Arial" w:hAnsi="Arial" w:eastAsia="Arial" w:cs="Arial"/>
                <w:sz w:val="20"/>
                <w:szCs w:val="20"/>
              </w:rPr>
              <w:t>States document type, source lock, split-Part scope, canonical rule, and template rule.</w:t>
            </w:r>
          </w:p>
        </w:tc>
        <w:tc>
          <w:tcPr>
            <w:tcW w:type="dxa" w:w="5904"/>
            <w:vAlign w:val="top"/>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before="0" w:line="240" w:lineRule="auto"/>
            </w:pPr>
            <w:r>
              <w:rPr>
                <w:b w:val="0"/>
                <w:rFonts w:ascii="Arial" w:hAnsi="Arial" w:eastAsia="Arial" w:cs="Arial"/>
                <w:sz w:val="20"/>
                <w:szCs w:val="20"/>
              </w:rPr>
              <w:t>Use the four released Part 2a papers and their current Issue 1 source locks in 0.1; preserve historical predecessor evidence separately.</w:t>
            </w:r>
          </w:p>
        </w:tc>
      </w:tr>
      <w:tr>
        <w:trPr/>
        <w:tc>
          <w:tcPr>
            <w:tcW w:type="dxa" w:w="936"/>
            <w:vAlign w:val="top"/>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before="0" w:line="240" w:lineRule="auto"/>
            </w:pPr>
            <w:r>
              <w:rPr>
                <w:b w:val="0"/>
                <w:rFonts w:ascii="Arial" w:hAnsi="Arial" w:eastAsia="Arial" w:cs="Arial"/>
                <w:sz w:val="20"/>
                <w:szCs w:val="20"/>
              </w:rPr>
              <w:t>1</w:t>
            </w:r>
          </w:p>
        </w:tc>
        <w:tc>
          <w:tcPr>
            <w:tcW w:type="dxa" w:w="2880"/>
            <w:vAlign w:val="top"/>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before="0" w:line="240" w:lineRule="auto"/>
            </w:pPr>
            <w:r>
              <w:rPr>
                <w:b w:val="0"/>
                <w:rFonts w:ascii="Arial" w:hAnsi="Arial" w:eastAsia="Arial" w:cs="Arial"/>
                <w:sz w:val="20"/>
                <w:szCs w:val="20"/>
              </w:rPr>
              <w:t>Part compression in one sentence</w:t>
            </w:r>
          </w:p>
        </w:tc>
        <w:tc>
          <w:tcPr>
            <w:tcW w:type="dxa" w:w="4608"/>
            <w:vAlign w:val="top"/>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before="0" w:line="240" w:lineRule="auto"/>
            </w:pPr>
            <w:r>
              <w:rPr>
                <w:b w:val="0"/>
                <w:rFonts w:ascii="Arial" w:hAnsi="Arial" w:eastAsia="Arial" w:cs="Arial"/>
                <w:sz w:val="20"/>
                <w:szCs w:val="20"/>
              </w:rPr>
              <w:t>Compresses the Part into one controlled sentence.</w:t>
            </w:r>
          </w:p>
        </w:tc>
        <w:tc>
          <w:tcPr>
            <w:tcW w:type="dxa" w:w="5904"/>
            <w:vAlign w:val="top"/>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before="0" w:line="240" w:lineRule="auto"/>
            </w:pPr>
            <w:r>
              <w:rPr>
                <w:b w:val="0"/>
                <w:rFonts w:ascii="Arial" w:hAnsi="Arial" w:eastAsia="Arial" w:cs="Arial"/>
                <w:sz w:val="20"/>
                <w:szCs w:val="20"/>
              </w:rPr>
              <w:t>Use one sentence; include finite access, retained embodiment, derived reachability, distributed Form, and residual without adding a primitive.</w:t>
            </w:r>
          </w:p>
        </w:tc>
      </w:tr>
      <w:tr>
        <w:trPr/>
        <w:tc>
          <w:tcPr>
            <w:tcW w:type="dxa" w:w="936"/>
            <w:vAlign w:val="top"/>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before="0" w:line="240" w:lineRule="auto"/>
            </w:pPr>
            <w:r>
              <w:rPr>
                <w:b w:val="0"/>
                <w:rFonts w:ascii="Arial" w:hAnsi="Arial" w:eastAsia="Arial" w:cs="Arial"/>
                <w:sz w:val="20"/>
                <w:szCs w:val="20"/>
              </w:rPr>
              <w:t>2</w:t>
            </w:r>
          </w:p>
        </w:tc>
        <w:tc>
          <w:tcPr>
            <w:tcW w:type="dxa" w:w="2880"/>
            <w:vAlign w:val="top"/>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before="0" w:line="240" w:lineRule="auto"/>
            </w:pPr>
            <w:r>
              <w:rPr>
                <w:b w:val="0"/>
                <w:rFonts w:ascii="Arial" w:hAnsi="Arial" w:eastAsia="Arial" w:cs="Arial"/>
                <w:sz w:val="20"/>
                <w:szCs w:val="20"/>
              </w:rPr>
              <w:t>Core compression</w:t>
            </w:r>
          </w:p>
        </w:tc>
        <w:tc>
          <w:tcPr>
            <w:tcW w:type="dxa" w:w="4608"/>
            <w:vAlign w:val="top"/>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before="0" w:line="240" w:lineRule="auto"/>
            </w:pPr>
            <w:r>
              <w:rPr>
                <w:b w:val="0"/>
                <w:rFonts w:ascii="Arial" w:hAnsi="Arial" w:eastAsia="Arial" w:cs="Arial"/>
                <w:sz w:val="20"/>
                <w:szCs w:val="20"/>
              </w:rPr>
              <w:t>States the central architectural move of the Part.</w:t>
            </w:r>
          </w:p>
        </w:tc>
        <w:tc>
          <w:tcPr>
            <w:tcW w:type="dxa" w:w="5904"/>
            <w:vAlign w:val="top"/>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before="0" w:line="240" w:lineRule="auto"/>
            </w:pPr>
            <w:r>
              <w:rPr>
                <w:b w:val="0"/>
                <w:rFonts w:ascii="Arial" w:hAnsi="Arial" w:eastAsia="Arial" w:cs="Arial"/>
                <w:sz w:val="20"/>
                <w:szCs w:val="20"/>
              </w:rPr>
              <w:t>Keep informational architecture, physical availability, target/model/residual, and the Paper 1c physical and derived relations distinct.</w:t>
            </w:r>
          </w:p>
        </w:tc>
      </w:tr>
      <w:tr>
        <w:trPr/>
        <w:tc>
          <w:tcPr>
            <w:tcW w:type="dxa" w:w="936"/>
            <w:vAlign w:val="top"/>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before="0" w:line="240" w:lineRule="auto"/>
            </w:pPr>
            <w:r>
              <w:rPr>
                <w:b w:val="0"/>
                <w:rFonts w:ascii="Arial" w:hAnsi="Arial" w:eastAsia="Arial" w:cs="Arial"/>
                <w:sz w:val="20"/>
                <w:szCs w:val="20"/>
              </w:rPr>
              <w:t>3</w:t>
            </w:r>
          </w:p>
        </w:tc>
        <w:tc>
          <w:tcPr>
            <w:tcW w:type="dxa" w:w="2880"/>
            <w:vAlign w:val="top"/>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before="0" w:line="240" w:lineRule="auto"/>
            </w:pPr>
            <w:r>
              <w:rPr>
                <w:b w:val="0"/>
                <w:rFonts w:ascii="Arial" w:hAnsi="Arial" w:eastAsia="Arial" w:cs="Arial"/>
                <w:sz w:val="20"/>
                <w:szCs w:val="20"/>
              </w:rPr>
              <w:t>Exportable schema</w:t>
            </w:r>
          </w:p>
        </w:tc>
        <w:tc>
          <w:tcPr>
            <w:tcW w:type="dxa" w:w="4608"/>
            <w:vAlign w:val="top"/>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before="0" w:line="240" w:lineRule="auto"/>
            </w:pPr>
            <w:r>
              <w:rPr>
                <w:b w:val="0"/>
                <w:rFonts w:ascii="Arial" w:hAnsi="Arial" w:eastAsia="Arial" w:cs="Arial"/>
                <w:sz w:val="20"/>
                <w:szCs w:val="20"/>
              </w:rPr>
              <w:t>Records reusable support-document structure.</w:t>
            </w:r>
          </w:p>
        </w:tc>
        <w:tc>
          <w:tcPr>
            <w:tcW w:type="dxa" w:w="5904"/>
            <w:vAlign w:val="top"/>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before="0" w:line="240" w:lineRule="auto"/>
            </w:pPr>
            <w:r>
              <w:rPr>
                <w:b w:val="0"/>
                <w:rFonts w:ascii="Arial" w:hAnsi="Arial" w:eastAsia="Arial" w:cs="Arial"/>
                <w:sz w:val="20"/>
                <w:szCs w:val="20"/>
              </w:rPr>
              <w:t>Retain for continuity with the Part 1 support stack.</w:t>
            </w:r>
          </w:p>
        </w:tc>
      </w:tr>
      <w:tr>
        <w:trPr/>
        <w:tc>
          <w:tcPr>
            <w:tcW w:type="dxa" w:w="936"/>
            <w:vAlign w:val="top"/>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before="0" w:line="240" w:lineRule="auto"/>
            </w:pPr>
            <w:r>
              <w:rPr>
                <w:b w:val="0"/>
                <w:rFonts w:ascii="Arial" w:hAnsi="Arial" w:eastAsia="Arial" w:cs="Arial"/>
                <w:sz w:val="20"/>
                <w:szCs w:val="20"/>
              </w:rPr>
              <w:t>4</w:t>
            </w:r>
          </w:p>
        </w:tc>
        <w:tc>
          <w:tcPr>
            <w:tcW w:type="dxa" w:w="2880"/>
            <w:vAlign w:val="top"/>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before="0" w:line="240" w:lineRule="auto"/>
            </w:pPr>
            <w:r>
              <w:rPr>
                <w:b w:val="0"/>
                <w:rFonts w:ascii="Arial" w:hAnsi="Arial" w:eastAsia="Arial" w:cs="Arial"/>
                <w:sz w:val="20"/>
                <w:szCs w:val="20"/>
              </w:rPr>
              <w:t>Canonical sequence and ownership map</w:t>
            </w:r>
          </w:p>
        </w:tc>
        <w:tc>
          <w:tcPr>
            <w:tcW w:type="dxa" w:w="4608"/>
            <w:vAlign w:val="top"/>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before="0" w:line="240" w:lineRule="auto"/>
            </w:pPr>
            <w:r>
              <w:rPr>
                <w:b w:val="0"/>
                <w:rFonts w:ascii="Arial" w:hAnsi="Arial" w:eastAsia="Arial" w:cs="Arial"/>
                <w:sz w:val="20"/>
                <w:szCs w:val="20"/>
              </w:rPr>
              <w:t>Fixes canonical order and ownership.</w:t>
            </w:r>
          </w:p>
        </w:tc>
        <w:tc>
          <w:tcPr>
            <w:tcW w:type="dxa" w:w="5904"/>
            <w:vAlign w:val="top"/>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before="0" w:line="240" w:lineRule="auto"/>
            </w:pPr>
            <w:r>
              <w:rPr>
                <w:b w:val="0"/>
                <w:rFonts w:ascii="Arial" w:hAnsi="Arial" w:eastAsia="Arial" w:cs="Arial"/>
                <w:sz w:val="20"/>
                <w:szCs w:val="20"/>
              </w:rPr>
              <w:t>Use the four Part 2a source papers; preserve Paper 1 as parent and 1a-1c as extensions, and preserve scoped information use.</w:t>
            </w:r>
          </w:p>
        </w:tc>
      </w:tr>
      <w:tr>
        <w:trPr/>
        <w:tc>
          <w:tcPr>
            <w:tcW w:type="dxa" w:w="936"/>
            <w:vAlign w:val="top"/>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before="0" w:line="240" w:lineRule="auto"/>
            </w:pPr>
            <w:r>
              <w:rPr>
                <w:b w:val="0"/>
                <w:rFonts w:ascii="Arial" w:hAnsi="Arial" w:eastAsia="Arial" w:cs="Arial"/>
                <w:sz w:val="20"/>
                <w:szCs w:val="20"/>
              </w:rPr>
              <w:t>5</w:t>
            </w:r>
          </w:p>
        </w:tc>
        <w:tc>
          <w:tcPr>
            <w:tcW w:type="dxa" w:w="2880"/>
            <w:vAlign w:val="top"/>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before="0" w:line="240" w:lineRule="auto"/>
            </w:pPr>
            <w:r>
              <w:rPr>
                <w:b w:val="0"/>
                <w:rFonts w:ascii="Arial" w:hAnsi="Arial" w:eastAsia="Arial" w:cs="Arial"/>
                <w:sz w:val="20"/>
                <w:szCs w:val="20"/>
              </w:rPr>
              <w:t>Concept stack</w:t>
            </w:r>
          </w:p>
        </w:tc>
        <w:tc>
          <w:tcPr>
            <w:tcW w:type="dxa" w:w="4608"/>
            <w:vAlign w:val="top"/>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before="0" w:line="240" w:lineRule="auto"/>
            </w:pPr>
            <w:r>
              <w:rPr>
                <w:b w:val="0"/>
                <w:rFonts w:ascii="Arial" w:hAnsi="Arial" w:eastAsia="Arial" w:cs="Arial"/>
                <w:sz w:val="20"/>
                <w:szCs w:val="20"/>
              </w:rPr>
              <w:t>Shows the layered architecture.</w:t>
            </w:r>
          </w:p>
        </w:tc>
        <w:tc>
          <w:tcPr>
            <w:tcW w:type="dxa" w:w="5904"/>
            <w:vAlign w:val="top"/>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before="0" w:line="240" w:lineRule="auto"/>
            </w:pPr>
            <w:r>
              <w:rPr>
                <w:b w:val="0"/>
                <w:rFonts w:ascii="Arial" w:hAnsi="Arial" w:eastAsia="Arial" w:cs="Arial"/>
                <w:sz w:val="20"/>
                <w:szCs w:val="20"/>
              </w:rPr>
              <w:t>Retain the access stack; show Paper 1c as cross-cutting physical interpretation and derived organisation, not additional primitive stages.</w:t>
            </w:r>
          </w:p>
        </w:tc>
      </w:tr>
      <w:tr>
        <w:trPr/>
        <w:tc>
          <w:tcPr>
            <w:tcW w:type="dxa" w:w="936"/>
            <w:vAlign w:val="top"/>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before="0" w:line="240" w:lineRule="auto"/>
            </w:pPr>
            <w:r>
              <w:rPr>
                <w:b w:val="0"/>
                <w:rFonts w:ascii="Arial" w:hAnsi="Arial" w:eastAsia="Arial" w:cs="Arial"/>
                <w:sz w:val="20"/>
                <w:szCs w:val="20"/>
              </w:rPr>
              <w:t>6</w:t>
            </w:r>
          </w:p>
        </w:tc>
        <w:tc>
          <w:tcPr>
            <w:tcW w:type="dxa" w:w="2880"/>
            <w:vAlign w:val="top"/>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before="0" w:line="240" w:lineRule="auto"/>
            </w:pPr>
            <w:r>
              <w:rPr>
                <w:b w:val="0"/>
                <w:rFonts w:ascii="Arial" w:hAnsi="Arial" w:eastAsia="Arial" w:cs="Arial"/>
                <w:sz w:val="20"/>
                <w:szCs w:val="20"/>
              </w:rPr>
              <w:t>Dependency spine</w:t>
            </w:r>
          </w:p>
        </w:tc>
        <w:tc>
          <w:tcPr>
            <w:tcW w:type="dxa" w:w="4608"/>
            <w:vAlign w:val="top"/>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before="0" w:line="240" w:lineRule="auto"/>
            </w:pPr>
            <w:r>
              <w:rPr>
                <w:b w:val="0"/>
                <w:rFonts w:ascii="Arial" w:hAnsi="Arial" w:eastAsia="Arial" w:cs="Arial"/>
                <w:sz w:val="20"/>
                <w:szCs w:val="20"/>
              </w:rPr>
              <w:t>Shows conceptual dependency order.</w:t>
            </w:r>
          </w:p>
        </w:tc>
        <w:tc>
          <w:tcPr>
            <w:tcW w:type="dxa" w:w="5904"/>
            <w:vAlign w:val="top"/>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before="0" w:line="240" w:lineRule="auto"/>
            </w:pPr>
            <w:r>
              <w:rPr>
                <w:b w:val="0"/>
                <w:rFonts w:ascii="Arial" w:hAnsi="Arial" w:eastAsia="Arial" w:cs="Arial"/>
                <w:sz w:val="20"/>
                <w:szCs w:val="20"/>
              </w:rPr>
              <w:t>Separate local operations from recursive effects on later availability and classing; receiving loci earn their own relation.</w:t>
            </w:r>
          </w:p>
        </w:tc>
      </w:tr>
      <w:tr>
        <w:trPr/>
        <w:tc>
          <w:tcPr>
            <w:tcW w:type="dxa" w:w="936"/>
            <w:vAlign w:val="top"/>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before="0" w:line="240" w:lineRule="auto"/>
            </w:pPr>
            <w:r>
              <w:rPr>
                <w:b w:val="0"/>
                <w:rFonts w:ascii="Arial" w:hAnsi="Arial" w:eastAsia="Arial" w:cs="Arial"/>
                <w:sz w:val="20"/>
                <w:szCs w:val="20"/>
              </w:rPr>
              <w:t>7</w:t>
            </w:r>
          </w:p>
        </w:tc>
        <w:tc>
          <w:tcPr>
            <w:tcW w:type="dxa" w:w="2880"/>
            <w:vAlign w:val="top"/>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before="0" w:line="240" w:lineRule="auto"/>
            </w:pPr>
            <w:r>
              <w:rPr>
                <w:b w:val="0"/>
                <w:rFonts w:ascii="Arial" w:hAnsi="Arial" w:eastAsia="Arial" w:cs="Arial"/>
                <w:sz w:val="20"/>
                <w:szCs w:val="20"/>
              </w:rPr>
              <w:t>Paper-by-paper compression</w:t>
            </w:r>
          </w:p>
        </w:tc>
        <w:tc>
          <w:tcPr>
            <w:tcW w:type="dxa" w:w="4608"/>
            <w:vAlign w:val="top"/>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before="0" w:line="240" w:lineRule="auto"/>
            </w:pPr>
            <w:r>
              <w:rPr>
                <w:b w:val="0"/>
                <w:rFonts w:ascii="Arial" w:hAnsi="Arial" w:eastAsia="Arial" w:cs="Arial"/>
                <w:sz w:val="20"/>
                <w:szCs w:val="20"/>
              </w:rPr>
              <w:t>Compresses each canonical paper.</w:t>
            </w:r>
          </w:p>
        </w:tc>
        <w:tc>
          <w:tcPr>
            <w:tcW w:type="dxa" w:w="5904"/>
            <w:vAlign w:val="top"/>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before="0" w:line="240" w:lineRule="auto"/>
            </w:pPr>
            <w:r>
              <w:rPr>
                <w:b w:val="0"/>
                <w:rFonts w:ascii="Arial" w:hAnsi="Arial" w:eastAsia="Arial" w:cs="Arial"/>
                <w:sz w:val="20"/>
                <w:szCs w:val="20"/>
              </w:rPr>
              <w:t>Keep canonical ownership visible and updated to final terminology.</w:t>
            </w:r>
          </w:p>
        </w:tc>
      </w:tr>
      <w:tr>
        <w:trPr/>
        <w:tc>
          <w:tcPr>
            <w:tcW w:type="dxa" w:w="936"/>
            <w:vAlign w:val="top"/>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before="0" w:line="240" w:lineRule="auto"/>
            </w:pPr>
            <w:r>
              <w:rPr>
                <w:b w:val="0"/>
                <w:rFonts w:ascii="Arial" w:hAnsi="Arial" w:eastAsia="Arial" w:cs="Arial"/>
                <w:sz w:val="20"/>
                <w:szCs w:val="20"/>
              </w:rPr>
              <w:t>8</w:t>
            </w:r>
          </w:p>
        </w:tc>
        <w:tc>
          <w:tcPr>
            <w:tcW w:type="dxa" w:w="2880"/>
            <w:vAlign w:val="top"/>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before="0" w:line="240" w:lineRule="auto"/>
            </w:pPr>
            <w:r>
              <w:rPr>
                <w:b w:val="0"/>
                <w:rFonts w:ascii="Arial" w:hAnsi="Arial" w:eastAsia="Arial" w:cs="Arial"/>
                <w:sz w:val="20"/>
                <w:szCs w:val="20"/>
              </w:rPr>
              <w:t>Operational use sequence</w:t>
            </w:r>
          </w:p>
        </w:tc>
        <w:tc>
          <w:tcPr>
            <w:tcW w:type="dxa" w:w="4608"/>
            <w:vAlign w:val="top"/>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before="0" w:line="240" w:lineRule="auto"/>
            </w:pPr>
            <w:r>
              <w:rPr>
                <w:b w:val="0"/>
                <w:rFonts w:ascii="Arial" w:hAnsi="Arial" w:eastAsia="Arial" w:cs="Arial"/>
                <w:sz w:val="20"/>
                <w:szCs w:val="20"/>
              </w:rPr>
              <w:t>Converts architecture into an application sequence.</w:t>
            </w:r>
          </w:p>
        </w:tc>
        <w:tc>
          <w:tcPr>
            <w:tcW w:type="dxa" w:w="5904"/>
            <w:vAlign w:val="top"/>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before="0" w:line="240" w:lineRule="auto"/>
            </w:pPr>
            <w:r>
              <w:rPr>
                <w:b w:val="0"/>
                <w:rFonts w:ascii="Arial" w:hAnsi="Arial" w:eastAsia="Arial" w:cs="Arial"/>
                <w:sz w:val="20"/>
                <w:szCs w:val="20"/>
              </w:rPr>
              <w:t>Use an RRP-first diagnostic sequence; stop before knowledge, intelligence, or observation status unless handed to Part 2b.</w:t>
            </w:r>
          </w:p>
        </w:tc>
      </w:tr>
      <w:tr>
        <w:trPr/>
        <w:tc>
          <w:tcPr>
            <w:tcW w:type="dxa" w:w="936"/>
            <w:vAlign w:val="top"/>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before="0" w:line="240" w:lineRule="auto"/>
            </w:pPr>
            <w:r>
              <w:rPr>
                <w:b w:val="0"/>
                <w:rFonts w:ascii="Arial" w:hAnsi="Arial" w:eastAsia="Arial" w:cs="Arial"/>
                <w:sz w:val="20"/>
                <w:szCs w:val="20"/>
              </w:rPr>
              <w:t>9</w:t>
            </w:r>
          </w:p>
        </w:tc>
        <w:tc>
          <w:tcPr>
            <w:tcW w:type="dxa" w:w="2880"/>
            <w:vAlign w:val="top"/>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before="0" w:line="240" w:lineRule="auto"/>
            </w:pPr>
            <w:r>
              <w:rPr>
                <w:b w:val="0"/>
                <w:rFonts w:ascii="Arial" w:hAnsi="Arial" w:eastAsia="Arial" w:cs="Arial"/>
                <w:sz w:val="20"/>
                <w:szCs w:val="20"/>
              </w:rPr>
              <w:t>Control interfaces</w:t>
            </w:r>
          </w:p>
        </w:tc>
        <w:tc>
          <w:tcPr>
            <w:tcW w:type="dxa" w:w="4608"/>
            <w:vAlign w:val="top"/>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before="0" w:line="240" w:lineRule="auto"/>
            </w:pPr>
            <w:r>
              <w:rPr>
                <w:b w:val="0"/>
                <w:rFonts w:ascii="Arial" w:hAnsi="Arial" w:eastAsia="Arial" w:cs="Arial"/>
                <w:sz w:val="20"/>
                <w:szCs w:val="20"/>
              </w:rPr>
              <w:t>States how support documents and later Parts relate.</w:t>
            </w:r>
          </w:p>
        </w:tc>
        <w:tc>
          <w:tcPr>
            <w:tcW w:type="dxa" w:w="5904"/>
            <w:vAlign w:val="top"/>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before="0" w:line="240" w:lineRule="auto"/>
            </w:pPr>
            <w:r>
              <w:rPr>
                <w:b w:val="0"/>
                <w:rFonts w:ascii="Arial" w:hAnsi="Arial" w:eastAsia="Arial" w:cs="Arial"/>
                <w:sz w:val="20"/>
                <w:szCs w:val="20"/>
              </w:rPr>
              <w:t>Keep Part 2a secondary to primary papers and upstream of Part 2b.</w:t>
            </w:r>
          </w:p>
        </w:tc>
      </w:tr>
      <w:tr>
        <w:trPr/>
        <w:tc>
          <w:tcPr>
            <w:tcW w:type="dxa" w:w="936"/>
            <w:vAlign w:val="top"/>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before="0" w:line="240" w:lineRule="auto"/>
            </w:pPr>
            <w:r>
              <w:rPr>
                <w:b w:val="0"/>
                <w:rFonts w:ascii="Arial" w:hAnsi="Arial" w:eastAsia="Arial" w:cs="Arial"/>
                <w:sz w:val="20"/>
                <w:szCs w:val="20"/>
              </w:rPr>
              <w:t>10</w:t>
            </w:r>
          </w:p>
        </w:tc>
        <w:tc>
          <w:tcPr>
            <w:tcW w:type="dxa" w:w="2880"/>
            <w:vAlign w:val="top"/>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before="0" w:line="240" w:lineRule="auto"/>
            </w:pPr>
            <w:r>
              <w:rPr>
                <w:b w:val="0"/>
                <w:rFonts w:ascii="Arial" w:hAnsi="Arial" w:eastAsia="Arial" w:cs="Arial"/>
                <w:sz w:val="20"/>
                <w:szCs w:val="20"/>
              </w:rPr>
              <w:t>Extension protocol and release checklist</w:t>
            </w:r>
          </w:p>
        </w:tc>
        <w:tc>
          <w:tcPr>
            <w:tcW w:type="dxa" w:w="4608"/>
            <w:vAlign w:val="top"/>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before="0" w:line="240" w:lineRule="auto"/>
            </w:pPr>
            <w:r>
              <w:rPr>
                <w:b w:val="0"/>
                <w:rFonts w:ascii="Arial" w:hAnsi="Arial" w:eastAsia="Arial" w:cs="Arial"/>
                <w:sz w:val="20"/>
                <w:szCs w:val="20"/>
              </w:rPr>
              <w:t>States how later applications may inherit the Part.</w:t>
            </w:r>
          </w:p>
        </w:tc>
        <w:tc>
          <w:tcPr>
            <w:tcW w:type="dxa" w:w="5904"/>
            <w:vAlign w:val="top"/>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before="0" w:line="240" w:lineRule="auto"/>
            </w:pPr>
            <w:r>
              <w:rPr>
                <w:b w:val="0"/>
                <w:rFonts w:ascii="Arial" w:hAnsi="Arial" w:eastAsia="Arial" w:cs="Arial"/>
                <w:sz w:val="20"/>
                <w:szCs w:val="20"/>
              </w:rPr>
              <w:t>Prevent source drift, status inflation, stage collapse, locus drift, and residual laundering.</w:t>
            </w:r>
          </w:p>
        </w:tc>
      </w:tr>
    </w:tbl>
    <w:p>
      <w:pPr>
        <w:rPr>
          <w:rFonts w:ascii="Arial" w:hAnsi="Arial" w:eastAsia="Arial" w:cs="Arial"/>
          <w:sz w:val="22"/>
          <w:szCs w:val="22"/>
        </w:rPr>
        <w:widowControl/>
        <w:spacing w:before="0" w:after="0" w:line="240" w:lineRule="auto"/>
        <w:keepNext/>
      </w:pPr>
      <w:r>
        <w:rPr>
          <w:rFonts w:ascii="Arial" w:hAnsi="Arial" w:eastAsia="Arial" w:cs="Arial"/>
          <w:sz w:val="22"/>
        </w:rPr>
      </w:r>
    </w:p>
    <w:p>
      <w:pPr>
        <w:rPr>
          <w:rFonts w:ascii="Arial" w:hAnsi="Arial" w:eastAsia="Arial" w:cs="Arial"/>
          <w:sz w:val="30"/>
          <w:szCs w:val="30"/>
          <w:b w:val="1"/>
          <w:color w:val="1F4E79"/>
        </w:rPr>
        <w:pStyle w:val="Heading1"/>
        <w:widowControl/>
        <w:spacing w:before="80" w:after="40" w:line="240" w:lineRule="auto"/>
        <w:keepNext/>
        <w:keepLines/>
      </w:pPr>
      <w:r>
        <w:rPr>
          <w:rFonts w:ascii="Arial" w:hAnsi="Arial" w:eastAsia="Arial" w:cs="Arial"/>
          <w:sz w:val="30"/>
          <w:szCs w:val="30"/>
          <w:b w:val="1"/>
          <w:color w:val="1F4E79"/>
        </w:rPr>
        <w:t>4. Canonical sequence and ownership map</w:t>
      </w:r>
    </w:p>
    <w:p>
      <w:pPr>
        <w:rPr>
          <w:rFonts w:ascii="Arial" w:hAnsi="Arial" w:eastAsia="Arial" w:cs="Arial"/>
          <w:sz w:val="22"/>
          <w:szCs w:val="22"/>
        </w:rPr>
        <w:widowControl/>
        <w:spacing w:after="40" w:before="0" w:line="240" w:lineRule="auto"/>
      </w:pPr>
      <w:r>
        <w:rPr>
          <w:rFonts w:ascii="Arial" w:hAnsi="Arial" w:eastAsia="Arial" w:cs="Arial"/>
          <w:sz w:val="22"/>
          <w:szCs w:val="22"/>
        </w:rPr>
        <w:t>The Part 2a reading sequence is Paper 1 followed by its attached extensions 1a, 1b, and 1c. All four are canonical sources for this support region; the extensions are not new primary-paper numbers and are not appendices to Part 2b.</w:t>
      </w:r>
    </w:p>
    <w:tbl>
      <w:tblPr>
        <w:tblW w:type="auto" w:w="0"/>
        <w:jc w:val="center"/>
        <w:tblLayout w:type="autofit"/>
        <w:tblLook w:firstColumn="1" w:firstRow="1" w:lastColumn="0" w:lastRow="0" w:noHBand="0" w:noVBand="1" w:val="04A0"/>
        <w:tblBorders>
          <w:top w:val="single" w:sz="4" w:color="7F7F7F"/>
          <w:left w:val="single" w:sz="4" w:color="7F7F7F"/>
          <w:bottom w:val="single" w:sz="4" w:color="7F7F7F"/>
          <w:right w:val="single" w:sz="4" w:color="7F7F7F"/>
          <w:insideH w:val="single" w:sz="4" w:color="7F7F7F"/>
          <w:insideV w:val="single" w:sz="4" w:color="7F7F7F"/>
        </w:tblBorders>
      </w:tblPr>
      <w:tblGrid>
        <w:gridCol w:w="3636"/>
        <w:gridCol w:w="3636"/>
        <w:gridCol w:w="3636"/>
        <w:gridCol w:w="3636"/>
      </w:tblGrid>
      <w:tr>
        <w:trPr>
          <w:tblHeader w:val="1"/>
        </w:trPr>
        <w:tc>
          <w:tcPr>
            <w:tcW w:type="dxa" w:w="1080"/>
            <w:vAlign w:val="top"/>
            <w:shd w:fill="D9EAF7" w:val="clear"/>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before="0" w:line="240" w:lineRule="auto"/>
            </w:pPr>
            <w:r>
              <w:rPr>
                <w:rFonts w:ascii="Arial" w:hAnsi="Arial" w:eastAsia="Arial" w:cs="Arial"/>
                <w:sz w:val="20"/>
                <w:szCs w:val="20"/>
                <w:b/>
              </w:rPr>
              <w:t>Sequence</w:t>
            </w:r>
          </w:p>
        </w:tc>
        <w:tc>
          <w:tcPr>
            <w:tcW w:type="dxa" w:w="2952"/>
            <w:vAlign w:val="top"/>
            <w:shd w:fill="D9EAF7" w:val="clear"/>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before="0" w:line="240" w:lineRule="auto"/>
            </w:pPr>
            <w:r>
              <w:rPr>
                <w:rFonts w:ascii="Arial" w:hAnsi="Arial" w:eastAsia="Arial" w:cs="Arial"/>
                <w:sz w:val="20"/>
                <w:szCs w:val="20"/>
                <w:b/>
              </w:rPr>
              <w:t>Canonical paper</w:t>
            </w:r>
          </w:p>
        </w:tc>
        <w:tc>
          <w:tcPr>
            <w:tcW w:type="dxa" w:w="3240"/>
            <w:vAlign w:val="top"/>
            <w:shd w:fill="D9EAF7" w:val="clear"/>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before="0" w:line="240" w:lineRule="auto"/>
            </w:pPr>
            <w:r>
              <w:rPr>
                <w:rFonts w:ascii="Arial" w:hAnsi="Arial" w:eastAsia="Arial" w:cs="Arial"/>
                <w:sz w:val="20"/>
                <w:szCs w:val="20"/>
                <w:b/>
              </w:rPr>
              <w:t>Role</w:t>
            </w:r>
          </w:p>
        </w:tc>
        <w:tc>
          <w:tcPr>
            <w:tcW w:type="dxa" w:w="7128"/>
            <w:vAlign w:val="top"/>
            <w:shd w:fill="D9EAF7" w:val="clear"/>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before="0" w:line="240" w:lineRule="auto"/>
            </w:pPr>
            <w:r>
              <w:rPr>
                <w:rFonts w:ascii="Arial" w:hAnsi="Arial" w:eastAsia="Arial" w:cs="Arial"/>
                <w:sz w:val="20"/>
                <w:szCs w:val="20"/>
                <w:b/>
              </w:rPr>
              <w:t>Canonical ownership</w:t>
            </w:r>
          </w:p>
        </w:tc>
      </w:tr>
      <w:tr>
        <w:trPr/>
        <w:tc>
          <w:tcPr>
            <w:tcW w:type="dxa" w:w="1080"/>
            <w:vAlign w:val="top"/>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before="0" w:line="240" w:lineRule="auto"/>
            </w:pPr>
            <w:r>
              <w:rPr>
                <w:b w:val="0"/>
                <w:rFonts w:ascii="Arial" w:hAnsi="Arial" w:eastAsia="Arial" w:cs="Arial"/>
                <w:sz w:val="20"/>
                <w:szCs w:val="20"/>
              </w:rPr>
              <w:t>Paper 1</w:t>
            </w:r>
          </w:p>
        </w:tc>
        <w:tc>
          <w:tcPr>
            <w:tcW w:type="dxa" w:w="2952"/>
            <w:vAlign w:val="top"/>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before="0" w:line="240" w:lineRule="auto"/>
            </w:pPr>
            <w:r>
              <w:rPr>
                <w:b w:val="0"/>
                <w:rFonts w:ascii="Arial" w:hAnsi="Arial" w:eastAsia="Arial" w:cs="Arial"/>
                <w:sz w:val="20"/>
                <w:szCs w:val="20"/>
              </w:rPr>
              <w:t>Relative Reference Points</w:t>
            </w:r>
          </w:p>
        </w:tc>
        <w:tc>
          <w:tcPr>
            <w:tcW w:type="dxa" w:w="3240"/>
            <w:vAlign w:val="top"/>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before="0" w:line="240" w:lineRule="auto"/>
            </w:pPr>
            <w:r>
              <w:rPr>
                <w:b w:val="0"/>
                <w:rFonts w:ascii="Arial" w:hAnsi="Arial" w:eastAsia="Arial" w:cs="Arial"/>
                <w:sz w:val="20"/>
                <w:szCs w:val="20"/>
              </w:rPr>
              <w:t>Installs informational architecture.</w:t>
            </w:r>
          </w:p>
        </w:tc>
        <w:tc>
          <w:tcPr>
            <w:tcW w:type="dxa" w:w="7128"/>
            <w:vAlign w:val="top"/>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before="0" w:line="240" w:lineRule="auto"/>
            </w:pPr>
            <w:r>
              <w:rPr>
                <w:b w:val="0"/>
                <w:rFonts w:ascii="Arial" w:hAnsi="Arial" w:eastAsia="Arial" w:cs="Arial"/>
                <w:sz w:val="20"/>
                <w:szCs w:val="20"/>
              </w:rPr>
              <w:t>Relational Access Principle; information for a locus as physical difference made relationally available as operational distinction; RRP as reference node; OP, OA, OR, RAS, RSD; local locus discipline; branch-realisation; scoped relation to thermodynamic, statistical, physical, Shannon, and other informational regimes.</w:t>
            </w:r>
          </w:p>
        </w:tc>
      </w:tr>
      <w:tr>
        <w:trPr/>
        <w:tc>
          <w:tcPr>
            <w:tcW w:type="dxa" w:w="1080"/>
            <w:vAlign w:val="top"/>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before="0" w:line="240" w:lineRule="auto"/>
            </w:pPr>
            <w:r>
              <w:rPr>
                <w:b w:val="0"/>
                <w:rFonts w:ascii="Arial" w:hAnsi="Arial" w:eastAsia="Arial" w:cs="Arial"/>
                <w:sz w:val="20"/>
                <w:szCs w:val="20"/>
              </w:rPr>
              <w:t>Paper 1a</w:t>
            </w:r>
          </w:p>
        </w:tc>
        <w:tc>
          <w:tcPr>
            <w:tcW w:type="dxa" w:w="2952"/>
            <w:vAlign w:val="top"/>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before="0" w:line="240" w:lineRule="auto"/>
            </w:pPr>
            <w:r>
              <w:rPr>
                <w:b w:val="0"/>
                <w:rFonts w:ascii="Arial" w:hAnsi="Arial" w:eastAsia="Arial" w:cs="Arial"/>
                <w:sz w:val="20"/>
                <w:szCs w:val="20"/>
              </w:rPr>
              <w:t>From Noise Cometh Signal</w:t>
            </w:r>
          </w:p>
        </w:tc>
        <w:tc>
          <w:tcPr>
            <w:tcW w:type="dxa" w:w="3240"/>
            <w:vAlign w:val="top"/>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before="0" w:line="240" w:lineRule="auto"/>
            </w:pPr>
            <w:r>
              <w:rPr>
                <w:b w:val="0"/>
                <w:rFonts w:ascii="Arial" w:hAnsi="Arial" w:eastAsia="Arial" w:cs="Arial"/>
                <w:sz w:val="20"/>
                <w:szCs w:val="20"/>
              </w:rPr>
              <w:t>Grounds the physical pathway into the architecture.</w:t>
            </w:r>
          </w:p>
        </w:tc>
        <w:tc>
          <w:tcPr>
            <w:tcW w:type="dxa" w:w="7128"/>
            <w:vAlign w:val="top"/>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before="0" w:line="240" w:lineRule="auto"/>
            </w:pPr>
            <w:r>
              <w:rPr>
                <w:b w:val="0"/>
                <w:rFonts w:ascii="Arial" w:hAnsi="Arial" w:eastAsia="Arial" w:cs="Arial"/>
                <w:sz w:val="20"/>
                <w:szCs w:val="20"/>
              </w:rPr>
              <w:t>Interaction; physical and dissipative variation; persistence and propagation as physical properties; preserved contrast; signal-bearing contrast; channel-discriminability; signal path; medium; noise; thermodynamic and Shannon placement; Locus Event Horizon; ingress into OP.</w:t>
            </w:r>
          </w:p>
        </w:tc>
      </w:tr>
      <w:tr>
        <w:trPr/>
        <w:tc>
          <w:tcPr>
            <w:tcW w:type="dxa" w:w="1080"/>
            <w:vAlign w:val="top"/>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before="0" w:line="240" w:lineRule="auto"/>
            </w:pPr>
            <w:r>
              <w:rPr>
                <w:b w:val="0"/>
                <w:rFonts w:ascii="Arial" w:hAnsi="Arial" w:eastAsia="Arial" w:cs="Arial"/>
                <w:sz w:val="20"/>
                <w:szCs w:val="20"/>
              </w:rPr>
              <w:t>Paper 1b</w:t>
            </w:r>
          </w:p>
        </w:tc>
        <w:tc>
          <w:tcPr>
            <w:tcW w:type="dxa" w:w="2952"/>
            <w:vAlign w:val="top"/>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before="0" w:line="240" w:lineRule="auto"/>
            </w:pPr>
            <w:r>
              <w:rPr>
                <w:b w:val="0"/>
                <w:rFonts w:ascii="Arial" w:hAnsi="Arial" w:eastAsia="Arial" w:cs="Arial"/>
                <w:sz w:val="20"/>
                <w:szCs w:val="20"/>
              </w:rPr>
              <w:t>Reference-Indexed Realism</w:t>
            </w:r>
          </w:p>
        </w:tc>
        <w:tc>
          <w:tcPr>
            <w:tcW w:type="dxa" w:w="3240"/>
            <w:vAlign w:val="top"/>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before="0" w:line="240" w:lineRule="auto"/>
            </w:pPr>
            <w:r>
              <w:rPr>
                <w:b w:val="0"/>
                <w:rFonts w:ascii="Arial" w:hAnsi="Arial" w:eastAsia="Arial" w:cs="Arial"/>
                <w:sz w:val="20"/>
                <w:szCs w:val="20"/>
              </w:rPr>
              <w:t>Draws the realism-facing consequence.</w:t>
            </w:r>
          </w:p>
        </w:tc>
        <w:tc>
          <w:tcPr>
            <w:tcW w:type="dxa" w:w="7128"/>
            <w:vAlign w:val="top"/>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before="0" w:line="240" w:lineRule="auto"/>
            </w:pPr>
            <w:r>
              <w:rPr>
                <w:b w:val="0"/>
                <w:rFonts w:ascii="Arial" w:hAnsi="Arial" w:eastAsia="Arial" w:cs="Arial"/>
                <w:sz w:val="20"/>
                <w:szCs w:val="20"/>
              </w:rPr>
              <w:t>Instability of unindexed realism; substrate difference before observation; access scaffold; ontological target; finite model; broad observation as bounded registration; residual; closure discipline; target-constrained but target-incomplete reality-claim.</w:t>
            </w:r>
          </w:p>
        </w:tc>
      </w:tr>
      <w:tr>
        <w:trPr/>
        <w:tc>
          <w:tcPr>
            <w:tcW w:type="dxa" w:w="1080"/>
            <w:vAlign w:val="top"/>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before="0" w:line="240" w:lineRule="auto"/>
            </w:pPr>
            <w:r>
              <w:rPr>
                <w:b w:val="0"/>
                <w:rFonts w:ascii="Arial" w:hAnsi="Arial" w:eastAsia="Arial" w:cs="Arial"/>
                <w:sz w:val="20"/>
                <w:szCs w:val="20"/>
              </w:rPr>
              <w:t>Paper 1c</w:t>
            </w:r>
          </w:p>
        </w:tc>
        <w:tc>
          <w:tcPr>
            <w:tcW w:type="dxa" w:w="2952"/>
            <w:vAlign w:val="top"/>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before="0" w:line="240" w:lineRule="auto"/>
            </w:pPr>
            <w:r>
              <w:rPr>
                <w:b w:val="0"/>
                <w:rFonts w:ascii="Arial" w:hAnsi="Arial" w:eastAsia="Arial" w:cs="Arial"/>
                <w:sz w:val="20"/>
                <w:szCs w:val="20"/>
              </w:rPr>
              <w:t>Relational Form</w:t>
            </w:r>
          </w:p>
        </w:tc>
        <w:tc>
          <w:tcPr>
            <w:tcW w:type="dxa" w:w="3240"/>
            <w:vAlign w:val="top"/>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before="0" w:line="240" w:lineRule="auto"/>
            </w:pPr>
            <w:r>
              <w:rPr>
                <w:b w:val="0"/>
                <w:rFonts w:ascii="Arial" w:hAnsi="Arial" w:eastAsia="Arial" w:cs="Arial"/>
                <w:sz w:val="20"/>
                <w:szCs w:val="20"/>
              </w:rPr>
              <w:t>Makes physical instantiation and derived relational organisation explicit.</w:t>
            </w:r>
          </w:p>
        </w:tc>
        <w:tc>
          <w:tcPr>
            <w:tcW w:type="dxa" w:w="7128"/>
            <w:vAlign w:val="top"/>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before="0" w:line="240" w:lineRule="auto"/>
            </w:pPr>
            <w:r>
              <w:rPr>
                <w:b w:val="0"/>
                <w:rFonts w:ascii="Arial" w:hAnsi="Arial" w:eastAsia="Arial" w:cs="Arial"/>
                <w:sz w:val="20"/>
                <w:szCs w:val="20"/>
              </w:rPr>
              <w:t>Relational index; target and locus as local physical cuts; coupling; embodiment of OA-keyed RAS; derived Relational Reachability; Relational Form and physically supported potential; relational propagation; relation before representation. RRP Set primitives remain owned by Paper 1.</w:t>
            </w:r>
          </w:p>
        </w:tc>
      </w:tr>
    </w:tbl>
    <w:p>
      <w:pPr>
        <w:rPr>
          <w:rFonts w:ascii="Arial" w:hAnsi="Arial" w:eastAsia="Arial" w:cs="Arial"/>
          <w:sz w:val="22"/>
          <w:szCs w:val="22"/>
        </w:rPr>
        <w:widowControl/>
        <w:spacing w:before="0" w:after="0" w:line="240" w:lineRule="auto"/>
        <w:keepNext/>
      </w:pPr>
      <w:r>
        <w:rPr>
          <w:rFonts w:ascii="Arial" w:hAnsi="Arial" w:eastAsia="Arial" w:cs="Arial"/>
          <w:sz w:val="22"/>
        </w:rPr>
      </w:r>
    </w:p>
    <w:p>
      <w:pPr>
        <w:rPr>
          <w:rFonts w:ascii="Arial" w:hAnsi="Arial" w:eastAsia="Arial" w:cs="Arial"/>
          <w:sz w:val="24"/>
          <w:szCs w:val="24"/>
          <w:b w:val="1"/>
          <w:color w:val="1F4E79"/>
        </w:rPr>
        <w:pStyle w:val="Heading2"/>
        <w:widowControl/>
        <w:spacing w:before="40" w:after="40" w:line="240" w:lineRule="auto"/>
        <w:keepNext/>
        <w:keepLines/>
      </w:pPr>
      <w:r>
        <w:rPr>
          <w:rFonts w:ascii="Arial" w:hAnsi="Arial" w:eastAsia="Arial" w:cs="Arial"/>
          <w:sz w:val="24"/>
          <w:szCs w:val="24"/>
          <w:b w:val="1"/>
          <w:color w:val="1F4E79"/>
        </w:rPr>
        <w:t>4.1 Canonical ownership register</w:t>
      </w:r>
    </w:p>
    <w:tbl>
      <w:tblPr>
        <w:tblW w:type="auto" w:w="0"/>
        <w:jc w:val="center"/>
        <w:tblLayout w:type="autofit"/>
        <w:tblLook w:firstColumn="1" w:firstRow="1" w:lastColumn="0" w:lastRow="0" w:noHBand="0" w:noVBand="1" w:val="04A0"/>
        <w:tblBorders>
          <w:top w:val="single" w:sz="4" w:color="7F7F7F"/>
          <w:left w:val="single" w:sz="4" w:color="7F7F7F"/>
          <w:bottom w:val="single" w:sz="4" w:color="7F7F7F"/>
          <w:right w:val="single" w:sz="4" w:color="7F7F7F"/>
          <w:insideH w:val="single" w:sz="4" w:color="7F7F7F"/>
          <w:insideV w:val="single" w:sz="4" w:color="7F7F7F"/>
        </w:tblBorders>
      </w:tblPr>
      <w:tblGrid>
        <w:gridCol w:w="4848"/>
        <w:gridCol w:w="4848"/>
        <w:gridCol w:w="4848"/>
      </w:tblGrid>
      <w:tr>
        <w:trPr>
          <w:tblHeader w:val="1"/>
        </w:trPr>
        <w:tc>
          <w:tcPr>
            <w:tcW w:type="dxa" w:w="3312"/>
            <w:vAlign w:val="top"/>
            <w:shd w:fill="D9EAF7" w:val="clear"/>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before="0" w:line="240" w:lineRule="auto"/>
            </w:pPr>
            <w:r>
              <w:rPr>
                <w:rFonts w:ascii="Arial" w:hAnsi="Arial" w:eastAsia="Arial" w:cs="Arial"/>
                <w:sz w:val="20"/>
                <w:szCs w:val="20"/>
                <w:b/>
              </w:rPr>
              <w:t>Architecture region</w:t>
            </w:r>
          </w:p>
        </w:tc>
        <w:tc>
          <w:tcPr>
            <w:tcW w:type="dxa" w:w="2016"/>
            <w:vAlign w:val="top"/>
            <w:shd w:fill="D9EAF7" w:val="clear"/>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before="0" w:line="240" w:lineRule="auto"/>
            </w:pPr>
            <w:r>
              <w:rPr>
                <w:rFonts w:ascii="Arial" w:hAnsi="Arial" w:eastAsia="Arial" w:cs="Arial"/>
                <w:sz w:val="20"/>
                <w:szCs w:val="20"/>
                <w:b/>
              </w:rPr>
              <w:t>Canonical home</w:t>
            </w:r>
          </w:p>
        </w:tc>
        <w:tc>
          <w:tcPr>
            <w:tcW w:type="dxa" w:w="9000"/>
            <w:vAlign w:val="top"/>
            <w:shd w:fill="D9EAF7" w:val="clear"/>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before="0" w:line="240" w:lineRule="auto"/>
            </w:pPr>
            <w:r>
              <w:rPr>
                <w:rFonts w:ascii="Arial" w:hAnsi="Arial" w:eastAsia="Arial" w:cs="Arial"/>
                <w:sz w:val="20"/>
                <w:szCs w:val="20"/>
                <w:b/>
              </w:rPr>
              <w:t>Use in support documents</w:t>
            </w:r>
          </w:p>
        </w:tc>
      </w:tr>
      <w:tr>
        <w:trPr/>
        <w:tc>
          <w:tcPr>
            <w:tcW w:type="dxa" w:w="3312"/>
            <w:vAlign w:val="top"/>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before="0" w:line="240" w:lineRule="auto"/>
            </w:pPr>
            <w:r>
              <w:rPr>
                <w:b w:val="0"/>
                <w:rFonts w:ascii="Arial" w:hAnsi="Arial" w:eastAsia="Arial" w:cs="Arial"/>
                <w:sz w:val="20"/>
                <w:szCs w:val="20"/>
              </w:rPr>
              <w:t>Informational threshold</w:t>
            </w:r>
          </w:p>
        </w:tc>
        <w:tc>
          <w:tcPr>
            <w:tcW w:type="dxa" w:w="2016"/>
            <w:vAlign w:val="top"/>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before="0" w:line="240" w:lineRule="auto"/>
            </w:pPr>
            <w:r>
              <w:rPr>
                <w:b w:val="0"/>
                <w:rFonts w:ascii="Arial" w:hAnsi="Arial" w:eastAsia="Arial" w:cs="Arial"/>
                <w:sz w:val="20"/>
                <w:szCs w:val="20"/>
              </w:rPr>
              <w:t>Paper 1</w:t>
            </w:r>
          </w:p>
        </w:tc>
        <w:tc>
          <w:tcPr>
            <w:tcW w:type="dxa" w:w="9000"/>
            <w:vAlign w:val="top"/>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before="0" w:line="240" w:lineRule="auto"/>
            </w:pPr>
            <w:r>
              <w:rPr>
                <w:b w:val="0"/>
                <w:rFonts w:ascii="Arial" w:hAnsi="Arial" w:eastAsia="Arial" w:cs="Arial"/>
                <w:sz w:val="20"/>
                <w:szCs w:val="20"/>
              </w:rPr>
              <w:t>Use Paper 1 for the scoped claim that information for a locus is physical difference made relationally available as operational distinction, not difference alone; do not revoke other legitimate informational regimes.</w:t>
            </w:r>
          </w:p>
        </w:tc>
      </w:tr>
      <w:tr>
        <w:trPr/>
        <w:tc>
          <w:tcPr>
            <w:tcW w:type="dxa" w:w="3312"/>
            <w:vAlign w:val="top"/>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before="0" w:line="240" w:lineRule="auto"/>
            </w:pPr>
            <w:r>
              <w:rPr>
                <w:b w:val="0"/>
                <w:rFonts w:ascii="Arial" w:hAnsi="Arial" w:eastAsia="Arial" w:cs="Arial"/>
                <w:sz w:val="20"/>
                <w:szCs w:val="20"/>
              </w:rPr>
              <w:t>Relational Access Principle</w:t>
            </w:r>
          </w:p>
        </w:tc>
        <w:tc>
          <w:tcPr>
            <w:tcW w:type="dxa" w:w="2016"/>
            <w:vAlign w:val="top"/>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before="0" w:line="240" w:lineRule="auto"/>
            </w:pPr>
            <w:r>
              <w:rPr>
                <w:b w:val="0"/>
                <w:rFonts w:ascii="Arial" w:hAnsi="Arial" w:eastAsia="Arial" w:cs="Arial"/>
                <w:sz w:val="20"/>
                <w:szCs w:val="20"/>
              </w:rPr>
              <w:t>Paper 1</w:t>
            </w:r>
          </w:p>
        </w:tc>
        <w:tc>
          <w:tcPr>
            <w:tcW w:type="dxa" w:w="9000"/>
            <w:vAlign w:val="top"/>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before="0" w:line="240" w:lineRule="auto"/>
            </w:pPr>
            <w:r>
              <w:rPr>
                <w:b w:val="0"/>
                <w:rFonts w:ascii="Arial" w:hAnsi="Arial" w:eastAsia="Arial" w:cs="Arial"/>
                <w:sz w:val="20"/>
                <w:szCs w:val="20"/>
              </w:rPr>
              <w:t>Use Paper 1 for finite access as relation under constraint: reality is not created by the locus and not possessed whole by the locus.</w:t>
            </w:r>
          </w:p>
        </w:tc>
      </w:tr>
      <w:tr>
        <w:trPr/>
        <w:tc>
          <w:tcPr>
            <w:tcW w:type="dxa" w:w="3312"/>
            <w:vAlign w:val="top"/>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before="0" w:line="240" w:lineRule="auto"/>
            </w:pPr>
            <w:r>
              <w:rPr>
                <w:b w:val="0"/>
                <w:rFonts w:ascii="Arial" w:hAnsi="Arial" w:eastAsia="Arial" w:cs="Arial"/>
                <w:sz w:val="20"/>
                <w:szCs w:val="20"/>
              </w:rPr>
              <w:t>RRP and reference conditions</w:t>
            </w:r>
          </w:p>
        </w:tc>
        <w:tc>
          <w:tcPr>
            <w:tcW w:type="dxa" w:w="2016"/>
            <w:vAlign w:val="top"/>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before="0" w:line="240" w:lineRule="auto"/>
            </w:pPr>
            <w:r>
              <w:rPr>
                <w:b w:val="0"/>
                <w:rFonts w:ascii="Arial" w:hAnsi="Arial" w:eastAsia="Arial" w:cs="Arial"/>
                <w:sz w:val="20"/>
                <w:szCs w:val="20"/>
              </w:rPr>
              <w:t>Paper 1</w:t>
            </w:r>
          </w:p>
        </w:tc>
        <w:tc>
          <w:tcPr>
            <w:tcW w:type="dxa" w:w="9000"/>
            <w:vAlign w:val="top"/>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before="0" w:line="240" w:lineRule="auto"/>
            </w:pPr>
            <w:r>
              <w:rPr>
                <w:b w:val="0"/>
                <w:rFonts w:ascii="Arial" w:hAnsi="Arial" w:eastAsia="Arial" w:cs="Arial"/>
                <w:sz w:val="20"/>
                <w:szCs w:val="20"/>
              </w:rPr>
              <w:t>Use Paper 1 for the situated reference node and for locus, interface, boundary, scale, horizon, discrimination/noise regime, abstraction, registration, retention, and redeployment conditions.</w:t>
            </w:r>
          </w:p>
        </w:tc>
      </w:tr>
      <w:tr>
        <w:trPr/>
        <w:tc>
          <w:tcPr>
            <w:tcW w:type="dxa" w:w="3312"/>
            <w:vAlign w:val="top"/>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before="0" w:line="240" w:lineRule="auto"/>
            </w:pPr>
            <w:r>
              <w:rPr>
                <w:b w:val="0"/>
                <w:rFonts w:ascii="Arial" w:hAnsi="Arial" w:eastAsia="Arial" w:cs="Arial"/>
                <w:sz w:val="20"/>
                <w:szCs w:val="20"/>
              </w:rPr>
              <w:t>RRP Set</w:t>
            </w:r>
          </w:p>
        </w:tc>
        <w:tc>
          <w:tcPr>
            <w:tcW w:type="dxa" w:w="2016"/>
            <w:vAlign w:val="top"/>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before="0" w:line="240" w:lineRule="auto"/>
            </w:pPr>
            <w:r>
              <w:rPr>
                <w:b w:val="0"/>
                <w:rFonts w:ascii="Arial" w:hAnsi="Arial" w:eastAsia="Arial" w:cs="Arial"/>
                <w:sz w:val="20"/>
                <w:szCs w:val="20"/>
              </w:rPr>
              <w:t>Paper 1</w:t>
            </w:r>
          </w:p>
        </w:tc>
        <w:tc>
          <w:tcPr>
            <w:tcW w:type="dxa" w:w="9000"/>
            <w:vAlign w:val="top"/>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before="0" w:line="240" w:lineRule="auto"/>
            </w:pPr>
            <w:r>
              <w:rPr>
                <w:b w:val="0"/>
                <w:rFonts w:ascii="Arial" w:hAnsi="Arial" w:eastAsia="Arial" w:cs="Arial"/>
                <w:sz w:val="20"/>
                <w:szCs w:val="20"/>
              </w:rPr>
              <w:t>Use Paper 1 for OP, OA, OR, RAS, and RSD as the operational element-set of informational architecture.</w:t>
            </w:r>
          </w:p>
        </w:tc>
      </w:tr>
      <w:tr>
        <w:trPr/>
        <w:tc>
          <w:tcPr>
            <w:tcW w:type="dxa" w:w="3312"/>
            <w:vAlign w:val="top"/>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before="0" w:line="240" w:lineRule="auto"/>
            </w:pPr>
            <w:r>
              <w:rPr>
                <w:b w:val="0"/>
                <w:rFonts w:ascii="Arial" w:hAnsi="Arial" w:eastAsia="Arial" w:cs="Arial"/>
                <w:sz w:val="20"/>
                <w:szCs w:val="20"/>
              </w:rPr>
              <w:t>Local locus discipline</w:t>
            </w:r>
          </w:p>
        </w:tc>
        <w:tc>
          <w:tcPr>
            <w:tcW w:type="dxa" w:w="2016"/>
            <w:vAlign w:val="top"/>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before="0" w:line="240" w:lineRule="auto"/>
            </w:pPr>
            <w:r>
              <w:rPr>
                <w:b w:val="0"/>
                <w:rFonts w:ascii="Arial" w:hAnsi="Arial" w:eastAsia="Arial" w:cs="Arial"/>
                <w:sz w:val="20"/>
                <w:szCs w:val="20"/>
              </w:rPr>
              <w:t>Paper 1</w:t>
            </w:r>
          </w:p>
        </w:tc>
        <w:tc>
          <w:tcPr>
            <w:tcW w:type="dxa" w:w="9000"/>
            <w:vAlign w:val="top"/>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before="0" w:line="240" w:lineRule="auto"/>
            </w:pPr>
            <w:r>
              <w:rPr>
                <w:b w:val="0"/>
                <w:rFonts w:ascii="Arial" w:hAnsi="Arial" w:eastAsia="Arial" w:cs="Arial"/>
                <w:sz w:val="20"/>
                <w:szCs w:val="20"/>
              </w:rPr>
              <w:t>Use Paper 1 for preventing silent transfer of distinction from one locus to another.</w:t>
            </w:r>
          </w:p>
        </w:tc>
      </w:tr>
      <w:tr>
        <w:trPr/>
        <w:tc>
          <w:tcPr>
            <w:tcW w:type="dxa" w:w="3312"/>
            <w:vAlign w:val="top"/>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before="0" w:line="240" w:lineRule="auto"/>
            </w:pPr>
            <w:r>
              <w:rPr>
                <w:b w:val="0"/>
                <w:rFonts w:ascii="Arial" w:hAnsi="Arial" w:eastAsia="Arial" w:cs="Arial"/>
                <w:sz w:val="20"/>
                <w:szCs w:val="20"/>
              </w:rPr>
              <w:t>Physical availability pathway</w:t>
            </w:r>
          </w:p>
        </w:tc>
        <w:tc>
          <w:tcPr>
            <w:tcW w:type="dxa" w:w="2016"/>
            <w:vAlign w:val="top"/>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before="0" w:line="240" w:lineRule="auto"/>
            </w:pPr>
            <w:r>
              <w:rPr>
                <w:b w:val="0"/>
                <w:rFonts w:ascii="Arial" w:hAnsi="Arial" w:eastAsia="Arial" w:cs="Arial"/>
                <w:sz w:val="20"/>
                <w:szCs w:val="20"/>
              </w:rPr>
              <w:t>Paper 1a</w:t>
            </w:r>
          </w:p>
        </w:tc>
        <w:tc>
          <w:tcPr>
            <w:tcW w:type="dxa" w:w="9000"/>
            <w:vAlign w:val="top"/>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before="0" w:line="240" w:lineRule="auto"/>
            </w:pPr>
            <w:r>
              <w:rPr>
                <w:b w:val="0"/>
                <w:rFonts w:ascii="Arial" w:hAnsi="Arial" w:eastAsia="Arial" w:cs="Arial"/>
                <w:sz w:val="20"/>
                <w:szCs w:val="20"/>
              </w:rPr>
              <w:t>Use Paper 1a for interaction, physical and dissipative variation, persistence and propagation as physical properties, preserved contrast, channel-relative discriminability, and entry into OP.</w:t>
            </w:r>
          </w:p>
        </w:tc>
      </w:tr>
      <w:tr>
        <w:trPr/>
        <w:tc>
          <w:tcPr>
            <w:tcW w:type="dxa" w:w="3312"/>
            <w:vAlign w:val="top"/>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before="0" w:line="240" w:lineRule="auto"/>
            </w:pPr>
            <w:r>
              <w:rPr>
                <w:b w:val="0"/>
                <w:rFonts w:ascii="Arial" w:hAnsi="Arial" w:eastAsia="Arial" w:cs="Arial"/>
                <w:sz w:val="20"/>
                <w:szCs w:val="20"/>
              </w:rPr>
              <w:t>Signal definition</w:t>
            </w:r>
          </w:p>
        </w:tc>
        <w:tc>
          <w:tcPr>
            <w:tcW w:type="dxa" w:w="2016"/>
            <w:vAlign w:val="top"/>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before="0" w:line="240" w:lineRule="auto"/>
            </w:pPr>
            <w:r>
              <w:rPr>
                <w:b w:val="0"/>
                <w:rFonts w:ascii="Arial" w:hAnsi="Arial" w:eastAsia="Arial" w:cs="Arial"/>
                <w:sz w:val="20"/>
                <w:szCs w:val="20"/>
              </w:rPr>
              <w:t>Paper 1a</w:t>
            </w:r>
          </w:p>
        </w:tc>
        <w:tc>
          <w:tcPr>
            <w:tcW w:type="dxa" w:w="9000"/>
            <w:vAlign w:val="top"/>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before="0" w:line="240" w:lineRule="auto"/>
            </w:pPr>
            <w:r>
              <w:rPr>
                <w:b w:val="0"/>
                <w:rFonts w:ascii="Arial" w:hAnsi="Arial" w:eastAsia="Arial" w:cs="Arial"/>
                <w:sz w:val="20"/>
                <w:szCs w:val="20"/>
              </w:rPr>
              <w:t>Use Paper 1a for signal as physical variation preserved as contrast through a medium under possible discrimination conditions.</w:t>
            </w:r>
          </w:p>
        </w:tc>
      </w:tr>
      <w:tr>
        <w:trPr/>
        <w:tc>
          <w:tcPr>
            <w:tcW w:type="dxa" w:w="3312"/>
            <w:vAlign w:val="top"/>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before="0" w:line="240" w:lineRule="auto"/>
            </w:pPr>
            <w:r>
              <w:rPr>
                <w:b w:val="0"/>
                <w:rFonts w:ascii="Arial" w:hAnsi="Arial" w:eastAsia="Arial" w:cs="Arial"/>
                <w:sz w:val="20"/>
                <w:szCs w:val="20"/>
              </w:rPr>
              <w:t>Signal/information separation</w:t>
            </w:r>
          </w:p>
        </w:tc>
        <w:tc>
          <w:tcPr>
            <w:tcW w:type="dxa" w:w="2016"/>
            <w:vAlign w:val="top"/>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before="0" w:line="240" w:lineRule="auto"/>
            </w:pPr>
            <w:r>
              <w:rPr>
                <w:b w:val="0"/>
                <w:rFonts w:ascii="Arial" w:hAnsi="Arial" w:eastAsia="Arial" w:cs="Arial"/>
                <w:sz w:val="20"/>
                <w:szCs w:val="20"/>
              </w:rPr>
              <w:t>Paper 1a</w:t>
            </w:r>
          </w:p>
        </w:tc>
        <w:tc>
          <w:tcPr>
            <w:tcW w:type="dxa" w:w="9000"/>
            <w:vAlign w:val="top"/>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before="0" w:line="240" w:lineRule="auto"/>
            </w:pPr>
            <w:r>
              <w:rPr>
                <w:b w:val="0"/>
                <w:rFonts w:ascii="Arial" w:hAnsi="Arial" w:eastAsia="Arial" w:cs="Arial"/>
                <w:sz w:val="20"/>
                <w:szCs w:val="20"/>
              </w:rPr>
              <w:t>Use Paper 1a to prevent signal inflation, RRP-status inflation, and the reintroduction of persistence or residue as independent information stages.</w:t>
            </w:r>
          </w:p>
        </w:tc>
      </w:tr>
      <w:tr>
        <w:trPr/>
        <w:tc>
          <w:tcPr>
            <w:tcW w:type="dxa" w:w="3312"/>
            <w:vAlign w:val="top"/>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before="0" w:line="240" w:lineRule="auto"/>
            </w:pPr>
            <w:r>
              <w:rPr>
                <w:b w:val="0"/>
                <w:rFonts w:ascii="Arial" w:hAnsi="Arial" w:eastAsia="Arial" w:cs="Arial"/>
                <w:sz w:val="20"/>
                <w:szCs w:val="20"/>
              </w:rPr>
              <w:t>Locus Event Horizon</w:t>
            </w:r>
          </w:p>
        </w:tc>
        <w:tc>
          <w:tcPr>
            <w:tcW w:type="dxa" w:w="2016"/>
            <w:vAlign w:val="top"/>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before="0" w:line="240" w:lineRule="auto"/>
            </w:pPr>
            <w:r>
              <w:rPr>
                <w:b w:val="0"/>
                <w:rFonts w:ascii="Arial" w:hAnsi="Arial" w:eastAsia="Arial" w:cs="Arial"/>
                <w:sz w:val="20"/>
                <w:szCs w:val="20"/>
              </w:rPr>
              <w:t>Paper 1a</w:t>
            </w:r>
          </w:p>
        </w:tc>
        <w:tc>
          <w:tcPr>
            <w:tcW w:type="dxa" w:w="9000"/>
            <w:vAlign w:val="top"/>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before="0" w:line="240" w:lineRule="auto"/>
            </w:pPr>
            <w:r>
              <w:rPr>
                <w:b w:val="0"/>
                <w:rFonts w:ascii="Arial" w:hAnsi="Arial" w:eastAsia="Arial" w:cs="Arial"/>
                <w:sz w:val="20"/>
                <w:szCs w:val="20"/>
              </w:rPr>
              <w:t>Use Paper 1a for the ingress-boundary of possible relation before OP is established.</w:t>
            </w:r>
          </w:p>
        </w:tc>
      </w:tr>
      <w:tr>
        <w:trPr/>
        <w:tc>
          <w:tcPr>
            <w:tcW w:type="dxa" w:w="3312"/>
            <w:vAlign w:val="top"/>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before="0" w:line="240" w:lineRule="auto"/>
            </w:pPr>
            <w:r>
              <w:rPr>
                <w:b w:val="0"/>
                <w:rFonts w:ascii="Arial" w:hAnsi="Arial" w:eastAsia="Arial" w:cs="Arial"/>
                <w:sz w:val="20"/>
                <w:szCs w:val="20"/>
              </w:rPr>
              <w:t>Shannon Information Theory placement</w:t>
            </w:r>
          </w:p>
        </w:tc>
        <w:tc>
          <w:tcPr>
            <w:tcW w:type="dxa" w:w="2016"/>
            <w:vAlign w:val="top"/>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before="0" w:line="240" w:lineRule="auto"/>
            </w:pPr>
            <w:r>
              <w:rPr>
                <w:b w:val="0"/>
                <w:rFonts w:ascii="Arial" w:hAnsi="Arial" w:eastAsia="Arial" w:cs="Arial"/>
                <w:sz w:val="20"/>
                <w:szCs w:val="20"/>
              </w:rPr>
              <w:t>Paper 1a</w:t>
            </w:r>
          </w:p>
        </w:tc>
        <w:tc>
          <w:tcPr>
            <w:tcW w:type="dxa" w:w="9000"/>
            <w:vAlign w:val="top"/>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before="0" w:line="240" w:lineRule="auto"/>
            </w:pPr>
            <w:r>
              <w:rPr>
                <w:b w:val="0"/>
                <w:rFonts w:ascii="Arial" w:hAnsi="Arial" w:eastAsia="Arial" w:cs="Arial"/>
                <w:sz w:val="20"/>
                <w:szCs w:val="20"/>
              </w:rPr>
              <w:t>Use Paper 1a for SIT as the formal discipline of channel-relative uncertainty, coding, noise, symbols, bits, and transmission, not the complete theory of information.</w:t>
            </w:r>
          </w:p>
        </w:tc>
      </w:tr>
      <w:tr>
        <w:trPr/>
        <w:tc>
          <w:tcPr>
            <w:tcW w:type="dxa" w:w="3312"/>
            <w:vAlign w:val="top"/>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before="0" w:line="240" w:lineRule="auto"/>
            </w:pPr>
            <w:r>
              <w:rPr>
                <w:b w:val="0"/>
                <w:rFonts w:ascii="Arial" w:hAnsi="Arial" w:eastAsia="Arial" w:cs="Arial"/>
                <w:sz w:val="20"/>
                <w:szCs w:val="20"/>
              </w:rPr>
              <w:t>Reference-indexed realism</w:t>
            </w:r>
          </w:p>
        </w:tc>
        <w:tc>
          <w:tcPr>
            <w:tcW w:type="dxa" w:w="2016"/>
            <w:vAlign w:val="top"/>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before="0" w:line="240" w:lineRule="auto"/>
            </w:pPr>
            <w:r>
              <w:rPr>
                <w:b w:val="0"/>
                <w:rFonts w:ascii="Arial" w:hAnsi="Arial" w:eastAsia="Arial" w:cs="Arial"/>
                <w:sz w:val="20"/>
                <w:szCs w:val="20"/>
              </w:rPr>
              <w:t>Paper 1b</w:t>
            </w:r>
          </w:p>
        </w:tc>
        <w:tc>
          <w:tcPr>
            <w:tcW w:type="dxa" w:w="9000"/>
            <w:vAlign w:val="top"/>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before="0" w:line="240" w:lineRule="auto"/>
            </w:pPr>
            <w:r>
              <w:rPr>
                <w:b w:val="0"/>
                <w:rFonts w:ascii="Arial" w:hAnsi="Arial" w:eastAsia="Arial" w:cs="Arial"/>
                <w:sz w:val="20"/>
                <w:szCs w:val="20"/>
              </w:rPr>
              <w:t>Use Paper 1b for finite reality-claims as indexed, corrigible models of ontological targets formed through the RRP scaffold.</w:t>
            </w:r>
          </w:p>
        </w:tc>
      </w:tr>
      <w:tr>
        <w:trPr/>
        <w:tc>
          <w:tcPr>
            <w:tcW w:type="dxa" w:w="3312"/>
            <w:vAlign w:val="top"/>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before="0" w:line="240" w:lineRule="auto"/>
            </w:pPr>
            <w:r>
              <w:rPr>
                <w:b w:val="0"/>
                <w:rFonts w:ascii="Arial" w:hAnsi="Arial" w:eastAsia="Arial" w:cs="Arial"/>
                <w:sz w:val="20"/>
                <w:szCs w:val="20"/>
              </w:rPr>
              <w:t>Ontological target, model, residual</w:t>
            </w:r>
          </w:p>
        </w:tc>
        <w:tc>
          <w:tcPr>
            <w:tcW w:type="dxa" w:w="2016"/>
            <w:vAlign w:val="top"/>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before="0" w:line="240" w:lineRule="auto"/>
            </w:pPr>
            <w:r>
              <w:rPr>
                <w:b w:val="0"/>
                <w:rFonts w:ascii="Arial" w:hAnsi="Arial" w:eastAsia="Arial" w:cs="Arial"/>
                <w:sz w:val="20"/>
                <w:szCs w:val="20"/>
              </w:rPr>
              <w:t>Paper 1b</w:t>
            </w:r>
          </w:p>
        </w:tc>
        <w:tc>
          <w:tcPr>
            <w:tcW w:type="dxa" w:w="9000"/>
            <w:vAlign w:val="top"/>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before="0" w:line="240" w:lineRule="auto"/>
            </w:pPr>
            <w:r>
              <w:rPr>
                <w:b w:val="0"/>
                <w:rFonts w:ascii="Arial" w:hAnsi="Arial" w:eastAsia="Arial" w:cs="Arial"/>
                <w:sz w:val="20"/>
                <w:szCs w:val="20"/>
              </w:rPr>
              <w:t>Use Paper 1b for target constraint, model incompleteness, and residual as the discipline preventing premature closure.</w:t>
            </w:r>
          </w:p>
        </w:tc>
      </w:tr>
      <w:tr>
        <w:trPr/>
        <w:tc>
          <w:tcPr>
            <w:tcW w:type="dxa" w:w="3312"/>
            <w:vAlign w:val="top"/>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before="0" w:line="240" w:lineRule="auto"/>
            </w:pPr>
            <w:r>
              <w:rPr>
                <w:b w:val="0"/>
                <w:rFonts w:ascii="Arial" w:hAnsi="Arial" w:eastAsia="Arial" w:cs="Arial"/>
                <w:sz w:val="20"/>
                <w:szCs w:val="20"/>
              </w:rPr>
              <w:t>Closure discipline</w:t>
            </w:r>
          </w:p>
        </w:tc>
        <w:tc>
          <w:tcPr>
            <w:tcW w:type="dxa" w:w="2016"/>
            <w:vAlign w:val="top"/>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before="0" w:line="240" w:lineRule="auto"/>
            </w:pPr>
            <w:r>
              <w:rPr>
                <w:b w:val="0"/>
                <w:rFonts w:ascii="Arial" w:hAnsi="Arial" w:eastAsia="Arial" w:cs="Arial"/>
                <w:sz w:val="20"/>
                <w:szCs w:val="20"/>
              </w:rPr>
              <w:t>Paper 1b</w:t>
            </w:r>
          </w:p>
        </w:tc>
        <w:tc>
          <w:tcPr>
            <w:tcW w:type="dxa" w:w="9000"/>
            <w:vAlign w:val="top"/>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before="0" w:line="240" w:lineRule="auto"/>
            </w:pPr>
            <w:r>
              <w:rPr>
                <w:b w:val="0"/>
                <w:rFonts w:ascii="Arial" w:hAnsi="Arial" w:eastAsia="Arial" w:cs="Arial"/>
                <w:sz w:val="20"/>
                <w:szCs w:val="20"/>
              </w:rPr>
              <w:t>Use Paper 1b for refusing unindexed closure and for carrying unsatisfied target/model mismatch as residual.</w:t>
            </w:r>
          </w:p>
        </w:tc>
      </w:tr>
      <w:tr>
        <w:trPr/>
        <w:tc>
          <w:tcPr>
            <w:tcW w:type="dxa" w:w="3312"/>
            <w:vAlign w:val="top"/>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before="0" w:line="240" w:lineRule="auto"/>
            </w:pPr>
            <w:r>
              <w:rPr>
                <w:b w:val="0"/>
                <w:rFonts w:ascii="Arial" w:hAnsi="Arial" w:eastAsia="Arial" w:cs="Arial"/>
                <w:sz w:val="20"/>
                <w:szCs w:val="20"/>
              </w:rPr>
              <w:t>Relational index and local physical cuts</w:t>
            </w:r>
          </w:p>
        </w:tc>
        <w:tc>
          <w:tcPr>
            <w:tcW w:type="dxa" w:w="2016"/>
            <w:vAlign w:val="top"/>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before="0" w:line="240" w:lineRule="auto"/>
            </w:pPr>
            <w:r>
              <w:rPr>
                <w:b w:val="0"/>
                <w:rFonts w:ascii="Arial" w:hAnsi="Arial" w:eastAsia="Arial" w:cs="Arial"/>
                <w:sz w:val="20"/>
                <w:szCs w:val="20"/>
              </w:rPr>
              <w:t>Paper 1c, headings 1.1-2.2</w:t>
            </w:r>
          </w:p>
        </w:tc>
        <w:tc>
          <w:tcPr>
            <w:tcW w:type="dxa" w:w="9000"/>
            <w:vAlign w:val="top"/>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before="0" w:line="240" w:lineRule="auto"/>
            </w:pPr>
            <w:r>
              <w:rPr>
                <w:b w:val="0"/>
                <w:rFonts w:ascii="Arial" w:hAnsi="Arial" w:eastAsia="Arial" w:cs="Arial"/>
                <w:sz w:val="20"/>
                <w:szCs w:val="20"/>
              </w:rPr>
              <w:t>Keep the wider physical index distinct from a reference index, local target, local locus, and finite model. Coupling creates new relation; it does not create the target by interpretation.</w:t>
            </w:r>
          </w:p>
        </w:tc>
      </w:tr>
      <w:tr>
        <w:trPr/>
        <w:tc>
          <w:tcPr>
            <w:tcW w:type="dxa" w:w="3312"/>
            <w:vAlign w:val="top"/>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before="0" w:line="240" w:lineRule="auto"/>
            </w:pPr>
            <w:r>
              <w:rPr>
                <w:b w:val="0"/>
                <w:rFonts w:ascii="Arial" w:hAnsi="Arial" w:eastAsia="Arial" w:cs="Arial"/>
                <w:sz w:val="20"/>
                <w:szCs w:val="20"/>
              </w:rPr>
              <w:t>Embodiment of retained abstraction</w:t>
            </w:r>
          </w:p>
        </w:tc>
        <w:tc>
          <w:tcPr>
            <w:tcW w:type="dxa" w:w="2016"/>
            <w:vAlign w:val="top"/>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before="0" w:line="240" w:lineRule="auto"/>
            </w:pPr>
            <w:r>
              <w:rPr>
                <w:b w:val="0"/>
                <w:rFonts w:ascii="Arial" w:hAnsi="Arial" w:eastAsia="Arial" w:cs="Arial"/>
                <w:sz w:val="20"/>
                <w:szCs w:val="20"/>
              </w:rPr>
              <w:t>Paper 1c, heading 2.3; Paper 1 for RAS</w:t>
            </w:r>
          </w:p>
        </w:tc>
        <w:tc>
          <w:tcPr>
            <w:tcW w:type="dxa" w:w="9000"/>
            <w:vAlign w:val="top"/>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before="0" w:line="240" w:lineRule="auto"/>
            </w:pPr>
            <w:r>
              <w:rPr>
                <w:b w:val="0"/>
                <w:rFonts w:ascii="Arial" w:hAnsi="Arial" w:eastAsia="Arial" w:cs="Arial"/>
                <w:sz w:val="20"/>
                <w:szCs w:val="20"/>
              </w:rPr>
              <w:t>Embodiment describes OA-keyed physical retention already earned as RAS; it neither replaces the primitive nor upgrades every physical residue.</w:t>
            </w:r>
          </w:p>
        </w:tc>
      </w:tr>
      <w:tr>
        <w:trPr/>
        <w:tc>
          <w:tcPr>
            <w:tcW w:type="dxa" w:w="3312"/>
            <w:vAlign w:val="top"/>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before="0" w:line="240" w:lineRule="auto"/>
            </w:pPr>
            <w:r>
              <w:rPr>
                <w:b w:val="0"/>
                <w:rFonts w:ascii="Arial" w:hAnsi="Arial" w:eastAsia="Arial" w:cs="Arial"/>
                <w:sz w:val="20"/>
                <w:szCs w:val="20"/>
              </w:rPr>
              <w:t>Relational Reachability</w:t>
            </w:r>
          </w:p>
        </w:tc>
        <w:tc>
          <w:tcPr>
            <w:tcW w:type="dxa" w:w="2016"/>
            <w:vAlign w:val="top"/>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before="0" w:line="240" w:lineRule="auto"/>
            </w:pPr>
            <w:r>
              <w:rPr>
                <w:b w:val="0"/>
                <w:rFonts w:ascii="Arial" w:hAnsi="Arial" w:eastAsia="Arial" w:cs="Arial"/>
                <w:sz w:val="20"/>
                <w:szCs w:val="20"/>
              </w:rPr>
              <w:t>Paper 1c, heading 2.4</w:t>
            </w:r>
          </w:p>
        </w:tc>
        <w:tc>
          <w:tcPr>
            <w:tcW w:type="dxa" w:w="9000"/>
            <w:vAlign w:val="top"/>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before="0" w:line="240" w:lineRule="auto"/>
            </w:pPr>
            <w:r>
              <w:rPr>
                <w:b w:val="0"/>
                <w:rFonts w:ascii="Arial" w:hAnsi="Arial" w:eastAsia="Arial" w:cs="Arial"/>
                <w:sz w:val="20"/>
                <w:szCs w:val="20"/>
              </w:rPr>
              <w:t>Use for target-relative formation under present organisation and available scaffolding. Keep it distinct from ingress, KIP/OIP, and the Paper 4c envelope.</w:t>
            </w:r>
          </w:p>
        </w:tc>
      </w:tr>
      <w:tr>
        <w:trPr/>
        <w:tc>
          <w:tcPr>
            <w:tcW w:type="dxa" w:w="3312"/>
            <w:vAlign w:val="top"/>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before="0" w:line="240" w:lineRule="auto"/>
            </w:pPr>
            <w:r>
              <w:rPr>
                <w:b w:val="0"/>
                <w:rFonts w:ascii="Arial" w:hAnsi="Arial" w:eastAsia="Arial" w:cs="Arial"/>
                <w:sz w:val="20"/>
                <w:szCs w:val="20"/>
              </w:rPr>
              <w:t>Relational Form and potential instances</w:t>
            </w:r>
          </w:p>
        </w:tc>
        <w:tc>
          <w:tcPr>
            <w:tcW w:type="dxa" w:w="2016"/>
            <w:vAlign w:val="top"/>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before="0" w:line="240" w:lineRule="auto"/>
            </w:pPr>
            <w:r>
              <w:rPr>
                <w:b w:val="0"/>
                <w:rFonts w:ascii="Arial" w:hAnsi="Arial" w:eastAsia="Arial" w:cs="Arial"/>
                <w:sz w:val="20"/>
                <w:szCs w:val="20"/>
              </w:rPr>
              <w:t>Paper 1c, headings 3.1-3.4 and 7.1</w:t>
            </w:r>
          </w:p>
        </w:tc>
        <w:tc>
          <w:tcPr>
            <w:tcW w:type="dxa" w:w="9000"/>
            <w:vAlign w:val="top"/>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before="0" w:line="240" w:lineRule="auto"/>
            </w:pPr>
            <w:r>
              <w:rPr>
                <w:b w:val="0"/>
                <w:rFonts w:ascii="Arial" w:hAnsi="Arial" w:eastAsia="Arial" w:cs="Arial"/>
                <w:sz w:val="20"/>
                <w:szCs w:val="20"/>
              </w:rPr>
              <w:t>Use for distributed target-tracking relation, including physically supported potential. Do not equate Form with the index, one carrier, a perfect model, or a single locus.</w:t>
            </w:r>
          </w:p>
        </w:tc>
      </w:tr>
      <w:tr>
        <w:trPr/>
        <w:tc>
          <w:tcPr>
            <w:tcW w:type="dxa" w:w="3312"/>
            <w:vAlign w:val="top"/>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before="0" w:line="240" w:lineRule="auto"/>
            </w:pPr>
            <w:r>
              <w:rPr>
                <w:b w:val="0"/>
                <w:rFonts w:ascii="Arial" w:hAnsi="Arial" w:eastAsia="Arial" w:cs="Arial"/>
                <w:sz w:val="20"/>
                <w:szCs w:val="20"/>
              </w:rPr>
              <w:t>Relational propagation and representation</w:t>
            </w:r>
          </w:p>
        </w:tc>
        <w:tc>
          <w:tcPr>
            <w:tcW w:type="dxa" w:w="2016"/>
            <w:vAlign w:val="top"/>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before="0" w:line="240" w:lineRule="auto"/>
            </w:pPr>
            <w:r>
              <w:rPr>
                <w:b w:val="0"/>
                <w:rFonts w:ascii="Arial" w:hAnsi="Arial" w:eastAsia="Arial" w:cs="Arial"/>
                <w:sz w:val="20"/>
                <w:szCs w:val="20"/>
              </w:rPr>
              <w:t>Paper 1c, headings 4.1-4.3</w:t>
            </w:r>
          </w:p>
        </w:tc>
        <w:tc>
          <w:tcPr>
            <w:tcW w:type="dxa" w:w="9000"/>
            <w:vAlign w:val="top"/>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before="0" w:line="240" w:lineRule="auto"/>
            </w:pPr>
            <w:r>
              <w:rPr>
                <w:b w:val="0"/>
                <w:rFonts w:ascii="Arial" w:hAnsi="Arial" w:eastAsia="Arial" w:cs="Arial"/>
                <w:sz w:val="20"/>
                <w:szCs w:val="20"/>
              </w:rPr>
              <w:t>Preserve selective contrast, causal provenance, receiving-locus reconstruction, and target corrigibility. Do not infer semantic identity or truth from physical continuity.</w:t>
            </w:r>
          </w:p>
        </w:tc>
      </w:tr>
      <w:tr>
        <w:trPr/>
        <w:tc>
          <w:tcPr>
            <w:tcW w:type="dxa" w:w="3312"/>
            <w:vAlign w:val="top"/>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before="0" w:line="240" w:lineRule="auto"/>
            </w:pPr>
            <w:r>
              <w:rPr>
                <w:b w:val="0"/>
                <w:rFonts w:ascii="Arial" w:hAnsi="Arial" w:eastAsia="Arial" w:cs="Arial"/>
                <w:sz w:val="20"/>
                <w:szCs w:val="20"/>
              </w:rPr>
              <w:t>Part 2b handoff</w:t>
            </w:r>
          </w:p>
        </w:tc>
        <w:tc>
          <w:tcPr>
            <w:tcW w:type="dxa" w:w="2016"/>
            <w:vAlign w:val="top"/>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before="0" w:line="240" w:lineRule="auto"/>
            </w:pPr>
            <w:r>
              <w:rPr>
                <w:b w:val="0"/>
                <w:rFonts w:ascii="Arial" w:hAnsi="Arial" w:eastAsia="Arial" w:cs="Arial"/>
                <w:sz w:val="20"/>
                <w:szCs w:val="20"/>
              </w:rPr>
              <w:t>Part 2a sequence only</w:t>
            </w:r>
          </w:p>
        </w:tc>
        <w:tc>
          <w:tcPr>
            <w:tcW w:type="dxa" w:w="9000"/>
            <w:vAlign w:val="top"/>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before="0" w:line="240" w:lineRule="auto"/>
            </w:pPr>
            <w:r>
              <w:rPr>
                <w:b w:val="0"/>
                <w:rFonts w:ascii="Arial" w:hAnsi="Arial" w:eastAsia="Arial" w:cs="Arial"/>
                <w:sz w:val="20"/>
                <w:szCs w:val="20"/>
              </w:rPr>
              <w:t>Support documents may name knowledge, intelligence, and technical observation only as downstream developments. Preserve Paper 1b broad bridge use and Paper 1c physical grounding; neither replaces the Part 2b status ladders.</w:t>
            </w:r>
          </w:p>
        </w:tc>
      </w:tr>
    </w:tbl>
    <w:p>
      <w:pPr>
        <w:rPr>
          <w:rFonts w:ascii="Arial" w:hAnsi="Arial" w:eastAsia="Arial" w:cs="Arial"/>
          <w:sz w:val="22"/>
          <w:szCs w:val="22"/>
        </w:rPr>
        <w:widowControl/>
        <w:spacing w:before="0" w:after="0" w:line="240" w:lineRule="auto"/>
        <w:keepNext/>
      </w:pPr>
      <w:r>
        <w:rPr>
          <w:rFonts w:ascii="Arial" w:hAnsi="Arial" w:eastAsia="Arial" w:cs="Arial"/>
          <w:sz w:val="22"/>
        </w:rPr>
      </w:r>
    </w:p>
    <w:p>
      <w:pPr>
        <w:rPr>
          <w:rFonts w:ascii="Arial" w:hAnsi="Arial" w:eastAsia="Arial" w:cs="Arial"/>
          <w:sz w:val="30"/>
          <w:szCs w:val="30"/>
          <w:b w:val="1"/>
          <w:color w:val="1F4E79"/>
        </w:rPr>
        <w:pStyle w:val="Heading1"/>
        <w:widowControl/>
        <w:spacing w:before="80" w:after="40" w:line="240" w:lineRule="auto"/>
        <w:keepNext/>
        <w:keepLines/>
      </w:pPr>
      <w:r>
        <w:rPr>
          <w:rFonts w:ascii="Arial" w:hAnsi="Arial" w:eastAsia="Arial" w:cs="Arial"/>
          <w:sz w:val="30"/>
          <w:szCs w:val="30"/>
          <w:b w:val="1"/>
          <w:color w:val="1F4E79"/>
        </w:rPr>
        <w:t>5. Concept stack</w:t>
      </w:r>
    </w:p>
    <w:p>
      <w:pPr>
        <w:rPr>
          <w:rFonts w:ascii="Arial" w:hAnsi="Arial" w:eastAsia="Arial" w:cs="Arial"/>
          <w:sz w:val="22"/>
          <w:szCs w:val="22"/>
        </w:rPr>
        <w:widowControl/>
        <w:spacing w:after="40" w:before="0" w:line="240" w:lineRule="auto"/>
      </w:pPr>
      <w:r>
        <w:rPr>
          <w:rFonts w:ascii="Arial" w:hAnsi="Arial" w:eastAsia="Arial" w:cs="Arial"/>
          <w:sz w:val="22"/>
          <w:szCs w:val="22"/>
        </w:rPr>
        <w:t>The following rows organise the access architecture for support use; they are not a compulsory temporal chain. Persistence, propagation, and residue remain physical properties. The Paper 1c cross-cutting account in 5.1 makes physical grounding and derived organisation explicit without inserting new RRP Set elements.</w:t>
      </w:r>
    </w:p>
    <w:tbl>
      <w:tblPr>
        <w:tblW w:type="auto" w:w="0"/>
        <w:jc w:val="center"/>
        <w:tblLayout w:type="autofit"/>
        <w:tblLook w:firstColumn="1" w:firstRow="1" w:lastColumn="0" w:lastRow="0" w:noHBand="0" w:noVBand="1" w:val="04A0"/>
        <w:tblBorders>
          <w:top w:val="single" w:sz="4" w:color="7F7F7F"/>
          <w:left w:val="single" w:sz="4" w:color="7F7F7F"/>
          <w:bottom w:val="single" w:sz="4" w:color="7F7F7F"/>
          <w:right w:val="single" w:sz="4" w:color="7F7F7F"/>
          <w:insideH w:val="single" w:sz="4" w:color="7F7F7F"/>
          <w:insideV w:val="single" w:sz="4" w:color="7F7F7F"/>
        </w:tblBorders>
      </w:tblPr>
      <w:tblGrid>
        <w:gridCol w:w="3636"/>
        <w:gridCol w:w="3636"/>
        <w:gridCol w:w="3636"/>
        <w:gridCol w:w="3636"/>
      </w:tblGrid>
      <w:tr>
        <w:trPr>
          <w:tblHeader w:val="1"/>
        </w:trPr>
        <w:tc>
          <w:tcPr>
            <w:tcW w:type="dxa" w:w="2376"/>
            <w:vAlign w:val="top"/>
            <w:shd w:fill="D9EAF7" w:val="clear"/>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before="0" w:line="240" w:lineRule="auto"/>
            </w:pPr>
            <w:r>
              <w:rPr>
                <w:rFonts w:ascii="Arial" w:hAnsi="Arial" w:eastAsia="Arial" w:cs="Arial"/>
                <w:sz w:val="20"/>
                <w:szCs w:val="20"/>
                <w:b/>
              </w:rPr>
              <w:t>Layer</w:t>
            </w:r>
          </w:p>
        </w:tc>
        <w:tc>
          <w:tcPr>
            <w:tcW w:type="dxa" w:w="3240"/>
            <w:vAlign w:val="top"/>
            <w:shd w:fill="D9EAF7" w:val="clear"/>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before="0" w:line="240" w:lineRule="auto"/>
            </w:pPr>
            <w:r>
              <w:rPr>
                <w:rFonts w:ascii="Arial" w:hAnsi="Arial" w:eastAsia="Arial" w:cs="Arial"/>
                <w:sz w:val="20"/>
                <w:szCs w:val="20"/>
                <w:b/>
              </w:rPr>
              <w:t>Function</w:t>
            </w:r>
          </w:p>
        </w:tc>
        <w:tc>
          <w:tcPr>
            <w:tcW w:type="dxa" w:w="4608"/>
            <w:vAlign w:val="top"/>
            <w:shd w:fill="D9EAF7" w:val="clear"/>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before="0" w:line="240" w:lineRule="auto"/>
            </w:pPr>
            <w:r>
              <w:rPr>
                <w:rFonts w:ascii="Arial" w:hAnsi="Arial" w:eastAsia="Arial" w:cs="Arial"/>
                <w:sz w:val="20"/>
                <w:szCs w:val="20"/>
                <w:b/>
              </w:rPr>
              <w:t>Core concepts</w:t>
            </w:r>
          </w:p>
        </w:tc>
        <w:tc>
          <w:tcPr>
            <w:tcW w:type="dxa" w:w="4176"/>
            <w:vAlign w:val="top"/>
            <w:shd w:fill="D9EAF7" w:val="clear"/>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before="0" w:line="240" w:lineRule="auto"/>
            </w:pPr>
            <w:r>
              <w:rPr>
                <w:rFonts w:ascii="Arial" w:hAnsi="Arial" w:eastAsia="Arial" w:cs="Arial"/>
                <w:sz w:val="20"/>
                <w:szCs w:val="20"/>
                <w:b/>
              </w:rPr>
              <w:t>Guardrail</w:t>
            </w:r>
          </w:p>
        </w:tc>
      </w:tr>
      <w:tr>
        <w:trPr/>
        <w:tc>
          <w:tcPr>
            <w:tcW w:type="dxa" w:w="2376"/>
            <w:vAlign w:val="top"/>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before="0" w:line="240" w:lineRule="auto"/>
            </w:pPr>
            <w:r>
              <w:rPr>
                <w:b w:val="0"/>
                <w:rFonts w:ascii="Arial" w:hAnsi="Arial" w:eastAsia="Arial" w:cs="Arial"/>
                <w:sz w:val="20"/>
                <w:szCs w:val="20"/>
              </w:rPr>
              <w:t>1. Substrate difference</w:t>
            </w:r>
          </w:p>
        </w:tc>
        <w:tc>
          <w:tcPr>
            <w:tcW w:type="dxa" w:w="3240"/>
            <w:vAlign w:val="top"/>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before="0" w:line="240" w:lineRule="auto"/>
            </w:pPr>
            <w:r>
              <w:rPr>
                <w:b w:val="0"/>
                <w:rFonts w:ascii="Arial" w:hAnsi="Arial" w:eastAsia="Arial" w:cs="Arial"/>
                <w:sz w:val="20"/>
                <w:szCs w:val="20"/>
              </w:rPr>
              <w:t>Preserves realist ground before access.</w:t>
            </w:r>
          </w:p>
        </w:tc>
        <w:tc>
          <w:tcPr>
            <w:tcW w:type="dxa" w:w="4608"/>
            <w:vAlign w:val="top"/>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before="0" w:line="240" w:lineRule="auto"/>
            </w:pPr>
            <w:r>
              <w:rPr>
                <w:b w:val="0"/>
                <w:rFonts w:ascii="Arial" w:hAnsi="Arial" w:eastAsia="Arial" w:cs="Arial"/>
                <w:sz w:val="20"/>
                <w:szCs w:val="20"/>
              </w:rPr>
              <w:t>Physical difference; magnitude; duration; energy; structure; constraint; lawful process. Paper 1c locates target and locus within the wider relational index.</w:t>
            </w:r>
          </w:p>
        </w:tc>
        <w:tc>
          <w:tcPr>
            <w:tcW w:type="dxa" w:w="4176"/>
            <w:vAlign w:val="top"/>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before="0" w:line="240" w:lineRule="auto"/>
            </w:pPr>
            <w:r>
              <w:rPr>
                <w:b w:val="0"/>
                <w:rFonts w:ascii="Arial" w:hAnsi="Arial" w:eastAsia="Arial" w:cs="Arial"/>
                <w:sz w:val="20"/>
                <w:szCs w:val="20"/>
              </w:rPr>
              <w:t>Difference may be real and may stand in other informational relations before its RRP-indexed status for this locus is established.</w:t>
            </w:r>
          </w:p>
        </w:tc>
      </w:tr>
      <w:tr>
        <w:trPr/>
        <w:tc>
          <w:tcPr>
            <w:tcW w:type="dxa" w:w="2376"/>
            <w:vAlign w:val="top"/>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before="0" w:line="240" w:lineRule="auto"/>
            </w:pPr>
            <w:r>
              <w:rPr>
                <w:b w:val="0"/>
                <w:rFonts w:ascii="Arial" w:hAnsi="Arial" w:eastAsia="Arial" w:cs="Arial"/>
                <w:sz w:val="20"/>
                <w:szCs w:val="20"/>
              </w:rPr>
              <w:t>2. Lawful physical evolution</w:t>
            </w:r>
          </w:p>
        </w:tc>
        <w:tc>
          <w:tcPr>
            <w:tcW w:type="dxa" w:w="3240"/>
            <w:vAlign w:val="top"/>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before="0" w:line="240" w:lineRule="auto"/>
            </w:pPr>
            <w:r>
              <w:rPr>
                <w:b w:val="0"/>
                <w:rFonts w:ascii="Arial" w:hAnsi="Arial" w:eastAsia="Arial" w:cs="Arial"/>
                <w:sz w:val="20"/>
                <w:szCs w:val="20"/>
              </w:rPr>
              <w:t>Locates pre-informational change for the evaluated access relation.</w:t>
            </w:r>
          </w:p>
        </w:tc>
        <w:tc>
          <w:tcPr>
            <w:tcW w:type="dxa" w:w="4608"/>
            <w:vAlign w:val="top"/>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before="0" w:line="240" w:lineRule="auto"/>
            </w:pPr>
            <w:r>
              <w:rPr>
                <w:b w:val="0"/>
                <w:rFonts w:ascii="Arial" w:hAnsi="Arial" w:eastAsia="Arial" w:cs="Arial"/>
                <w:sz w:val="20"/>
                <w:szCs w:val="20"/>
              </w:rPr>
              <w:t>Interaction; dissipation; physical variation; TC-level state evolution.</w:t>
            </w:r>
          </w:p>
        </w:tc>
        <w:tc>
          <w:tcPr>
            <w:tcW w:type="dxa" w:w="4176"/>
            <w:vAlign w:val="top"/>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before="0" w:line="240" w:lineRule="auto"/>
            </w:pPr>
            <w:r>
              <w:rPr>
                <w:b w:val="0"/>
                <w:rFonts w:ascii="Arial" w:hAnsi="Arial" w:eastAsia="Arial" w:cs="Arial"/>
                <w:sz w:val="20"/>
                <w:szCs w:val="20"/>
              </w:rPr>
              <w:t>Describability is not RRP-indexed operational information; lawful transition is not NTC by naming.</w:t>
            </w:r>
          </w:p>
        </w:tc>
      </w:tr>
      <w:tr>
        <w:trPr/>
        <w:tc>
          <w:tcPr>
            <w:tcW w:type="dxa" w:w="2376"/>
            <w:vAlign w:val="top"/>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before="0" w:line="240" w:lineRule="auto"/>
            </w:pPr>
            <w:r>
              <w:rPr>
                <w:b w:val="0"/>
                <w:rFonts w:ascii="Arial" w:hAnsi="Arial" w:eastAsia="Arial" w:cs="Arial"/>
                <w:sz w:val="20"/>
                <w:szCs w:val="20"/>
              </w:rPr>
              <w:t>3. Persistence, propagation, and residue</w:t>
            </w:r>
          </w:p>
        </w:tc>
        <w:tc>
          <w:tcPr>
            <w:tcW w:type="dxa" w:w="3240"/>
            <w:vAlign w:val="top"/>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before="0" w:line="240" w:lineRule="auto"/>
            </w:pPr>
            <w:r>
              <w:rPr>
                <w:b w:val="0"/>
                <w:rFonts w:ascii="Arial" w:hAnsi="Arial" w:eastAsia="Arial" w:cs="Arial"/>
                <w:sz w:val="20"/>
                <w:szCs w:val="20"/>
              </w:rPr>
              <w:t>Separates physical properties from informational statuses.</w:t>
            </w:r>
          </w:p>
        </w:tc>
        <w:tc>
          <w:tcPr>
            <w:tcW w:type="dxa" w:w="4608"/>
            <w:vAlign w:val="top"/>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before="0" w:line="240" w:lineRule="auto"/>
            </w:pPr>
            <w:r>
              <w:rPr>
                <w:b w:val="0"/>
                <w:rFonts w:ascii="Arial" w:hAnsi="Arial" w:eastAsia="Arial" w:cs="Arial"/>
                <w:sz w:val="20"/>
                <w:szCs w:val="20"/>
              </w:rPr>
              <w:t>Persistence; propagation; local alteration; mark; deformation; gradient; physical residue.</w:t>
            </w:r>
          </w:p>
        </w:tc>
        <w:tc>
          <w:tcPr>
            <w:tcW w:type="dxa" w:w="4176"/>
            <w:vAlign w:val="top"/>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before="0" w:line="240" w:lineRule="auto"/>
            </w:pPr>
            <w:r>
              <w:rPr>
                <w:b w:val="0"/>
                <w:rFonts w:ascii="Arial" w:hAnsi="Arial" w:eastAsia="Arial" w:cs="Arial"/>
                <w:sz w:val="20"/>
                <w:szCs w:val="20"/>
              </w:rPr>
              <w:t>These are not independent signal, OP, OR, RAS, knowledge, or observation stages.</w:t>
            </w:r>
          </w:p>
        </w:tc>
      </w:tr>
      <w:tr>
        <w:trPr/>
        <w:tc>
          <w:tcPr>
            <w:tcW w:type="dxa" w:w="2376"/>
            <w:vAlign w:val="top"/>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before="0" w:line="240" w:lineRule="auto"/>
            </w:pPr>
            <w:r>
              <w:rPr>
                <w:b w:val="0"/>
                <w:rFonts w:ascii="Arial" w:hAnsi="Arial" w:eastAsia="Arial" w:cs="Arial"/>
                <w:sz w:val="20"/>
                <w:szCs w:val="20"/>
              </w:rPr>
              <w:t>4. Signal-bearing contrast</w:t>
            </w:r>
          </w:p>
        </w:tc>
        <w:tc>
          <w:tcPr>
            <w:tcW w:type="dxa" w:w="3240"/>
            <w:vAlign w:val="top"/>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before="0" w:line="240" w:lineRule="auto"/>
            </w:pPr>
            <w:r>
              <w:rPr>
                <w:b w:val="0"/>
                <w:rFonts w:ascii="Arial" w:hAnsi="Arial" w:eastAsia="Arial" w:cs="Arial"/>
                <w:sz w:val="20"/>
                <w:szCs w:val="20"/>
              </w:rPr>
              <w:t>Supplies physically preserved contrast.</w:t>
            </w:r>
          </w:p>
        </w:tc>
        <w:tc>
          <w:tcPr>
            <w:tcW w:type="dxa" w:w="4608"/>
            <w:vAlign w:val="top"/>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before="0" w:line="240" w:lineRule="auto"/>
            </w:pPr>
            <w:r>
              <w:rPr>
                <w:b w:val="0"/>
                <w:rFonts w:ascii="Arial" w:hAnsi="Arial" w:eastAsia="Arial" w:cs="Arial"/>
                <w:sz w:val="20"/>
                <w:szCs w:val="20"/>
              </w:rPr>
              <w:t>Signal; medium; carrier; preserved contrast; signal path.</w:t>
            </w:r>
          </w:p>
        </w:tc>
        <w:tc>
          <w:tcPr>
            <w:tcW w:type="dxa" w:w="4176"/>
            <w:vAlign w:val="top"/>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before="0" w:line="240" w:lineRule="auto"/>
            </w:pPr>
            <w:r>
              <w:rPr>
                <w:b w:val="0"/>
                <w:rFonts w:ascii="Arial" w:hAnsi="Arial" w:eastAsia="Arial" w:cs="Arial"/>
                <w:sz w:val="20"/>
                <w:szCs w:val="20"/>
              </w:rPr>
              <w:t>Not all variation is signal; signal is weaker than RRP-indexed operational information for the evaluated locus.</w:t>
            </w:r>
          </w:p>
        </w:tc>
      </w:tr>
      <w:tr>
        <w:trPr/>
        <w:tc>
          <w:tcPr>
            <w:tcW w:type="dxa" w:w="2376"/>
            <w:vAlign w:val="top"/>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before="0" w:line="240" w:lineRule="auto"/>
            </w:pPr>
            <w:r>
              <w:rPr>
                <w:b w:val="0"/>
                <w:rFonts w:ascii="Arial" w:hAnsi="Arial" w:eastAsia="Arial" w:cs="Arial"/>
                <w:sz w:val="20"/>
                <w:szCs w:val="20"/>
              </w:rPr>
              <w:t>5. Channel-relative discriminability</w:t>
            </w:r>
          </w:p>
        </w:tc>
        <w:tc>
          <w:tcPr>
            <w:tcW w:type="dxa" w:w="3240"/>
            <w:vAlign w:val="top"/>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before="0" w:line="240" w:lineRule="auto"/>
            </w:pPr>
            <w:r>
              <w:rPr>
                <w:b w:val="0"/>
                <w:rFonts w:ascii="Arial" w:hAnsi="Arial" w:eastAsia="Arial" w:cs="Arial"/>
                <w:sz w:val="20"/>
                <w:szCs w:val="20"/>
              </w:rPr>
              <w:t>Makes contrast potentially distinguishable.</w:t>
            </w:r>
          </w:p>
        </w:tc>
        <w:tc>
          <w:tcPr>
            <w:tcW w:type="dxa" w:w="4608"/>
            <w:vAlign w:val="top"/>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before="0" w:line="240" w:lineRule="auto"/>
            </w:pPr>
            <w:r>
              <w:rPr>
                <w:b w:val="0"/>
                <w:rFonts w:ascii="Arial" w:hAnsi="Arial" w:eastAsia="Arial" w:cs="Arial"/>
                <w:sz w:val="20"/>
                <w:szCs w:val="20"/>
              </w:rPr>
              <w:t>Channel; alphabet; noise model; coding regime; receiver or locus discrimination; SIT.</w:t>
            </w:r>
          </w:p>
        </w:tc>
        <w:tc>
          <w:tcPr>
            <w:tcW w:type="dxa" w:w="4176"/>
            <w:vAlign w:val="top"/>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before="0" w:line="240" w:lineRule="auto"/>
            </w:pPr>
            <w:r>
              <w:rPr>
                <w:b w:val="0"/>
                <w:rFonts w:ascii="Arial" w:hAnsi="Arial" w:eastAsia="Arial" w:cs="Arial"/>
                <w:sz w:val="20"/>
                <w:szCs w:val="20"/>
              </w:rPr>
              <w:t>SIT is valid within its specified channel regime; it does not replace the further RRP availability question.</w:t>
            </w:r>
          </w:p>
        </w:tc>
      </w:tr>
      <w:tr>
        <w:trPr/>
        <w:tc>
          <w:tcPr>
            <w:tcW w:type="dxa" w:w="2376"/>
            <w:vAlign w:val="top"/>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before="0" w:line="240" w:lineRule="auto"/>
            </w:pPr>
            <w:r>
              <w:rPr>
                <w:b w:val="0"/>
                <w:rFonts w:ascii="Arial" w:hAnsi="Arial" w:eastAsia="Arial" w:cs="Arial"/>
                <w:sz w:val="20"/>
                <w:szCs w:val="20"/>
              </w:rPr>
              <w:t>6. Locus Event Horizon</w:t>
            </w:r>
          </w:p>
        </w:tc>
        <w:tc>
          <w:tcPr>
            <w:tcW w:type="dxa" w:w="3240"/>
            <w:vAlign w:val="top"/>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before="0" w:line="240" w:lineRule="auto"/>
            </w:pPr>
            <w:r>
              <w:rPr>
                <w:b w:val="0"/>
                <w:rFonts w:ascii="Arial" w:hAnsi="Arial" w:eastAsia="Arial" w:cs="Arial"/>
                <w:sz w:val="20"/>
                <w:szCs w:val="20"/>
              </w:rPr>
              <w:t>Bounds ingress of possible relation.</w:t>
            </w:r>
          </w:p>
        </w:tc>
        <w:tc>
          <w:tcPr>
            <w:tcW w:type="dxa" w:w="4608"/>
            <w:vAlign w:val="top"/>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before="0" w:line="240" w:lineRule="auto"/>
            </w:pPr>
            <w:r>
              <w:rPr>
                <w:b w:val="0"/>
                <w:rFonts w:ascii="Arial" w:hAnsi="Arial" w:eastAsia="Arial" w:cs="Arial"/>
                <w:sz w:val="20"/>
                <w:szCs w:val="20"/>
              </w:rPr>
              <w:t>Ingress-boundary; distance; latency; medium; channel; threshold; scale; noise; filter; interface.</w:t>
            </w:r>
          </w:p>
        </w:tc>
        <w:tc>
          <w:tcPr>
            <w:tcW w:type="dxa" w:w="4176"/>
            <w:vAlign w:val="top"/>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before="0" w:line="240" w:lineRule="auto"/>
            </w:pPr>
            <w:r>
              <w:rPr>
                <w:b w:val="0"/>
                <w:rFonts w:ascii="Arial" w:hAnsi="Arial" w:eastAsia="Arial" w:cs="Arial"/>
                <w:sz w:val="20"/>
                <w:szCs w:val="20"/>
              </w:rPr>
              <w:t>The horizon is not an edge of reality and not a measure of observation-program performance.</w:t>
            </w:r>
          </w:p>
        </w:tc>
      </w:tr>
      <w:tr>
        <w:trPr/>
        <w:tc>
          <w:tcPr>
            <w:tcW w:type="dxa" w:w="2376"/>
            <w:vAlign w:val="top"/>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before="0" w:line="240" w:lineRule="auto"/>
            </w:pPr>
            <w:r>
              <w:rPr>
                <w:b w:val="0"/>
                <w:rFonts w:ascii="Arial" w:hAnsi="Arial" w:eastAsia="Arial" w:cs="Arial"/>
                <w:sz w:val="20"/>
                <w:szCs w:val="20"/>
              </w:rPr>
              <w:t>7. RRP reference node</w:t>
            </w:r>
          </w:p>
        </w:tc>
        <w:tc>
          <w:tcPr>
            <w:tcW w:type="dxa" w:w="3240"/>
            <w:vAlign w:val="top"/>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before="0" w:line="240" w:lineRule="auto"/>
            </w:pPr>
            <w:r>
              <w:rPr>
                <w:b w:val="0"/>
                <w:rFonts w:ascii="Arial" w:hAnsi="Arial" w:eastAsia="Arial" w:cs="Arial"/>
                <w:sz w:val="20"/>
                <w:szCs w:val="20"/>
              </w:rPr>
              <w:t>Makes the operational informational question well-posed.</w:t>
            </w:r>
          </w:p>
        </w:tc>
        <w:tc>
          <w:tcPr>
            <w:tcW w:type="dxa" w:w="4608"/>
            <w:vAlign w:val="top"/>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before="0" w:line="240" w:lineRule="auto"/>
            </w:pPr>
            <w:r>
              <w:rPr>
                <w:b w:val="0"/>
                <w:rFonts w:ascii="Arial" w:hAnsi="Arial" w:eastAsia="Arial" w:cs="Arial"/>
                <w:sz w:val="20"/>
                <w:szCs w:val="20"/>
              </w:rPr>
              <w:t>RRP; locus; interface; regime; boundary; scale; horizon; discrimination/noise assumptions.</w:t>
            </w:r>
          </w:p>
        </w:tc>
        <w:tc>
          <w:tcPr>
            <w:tcW w:type="dxa" w:w="4176"/>
            <w:vAlign w:val="top"/>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before="0" w:line="240" w:lineRule="auto"/>
            </w:pPr>
            <w:r>
              <w:rPr>
                <w:b w:val="0"/>
                <w:rFonts w:ascii="Arial" w:hAnsi="Arial" w:eastAsia="Arial" w:cs="Arial"/>
                <w:sz w:val="20"/>
                <w:szCs w:val="20"/>
              </w:rPr>
              <w:t>Relative does not mean subjective, arbitrary, weak, or unconstrained.</w:t>
            </w:r>
          </w:p>
        </w:tc>
      </w:tr>
      <w:tr>
        <w:trPr/>
        <w:tc>
          <w:tcPr>
            <w:tcW w:type="dxa" w:w="2376"/>
            <w:vAlign w:val="top"/>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before="0" w:line="240" w:lineRule="auto"/>
            </w:pPr>
            <w:r>
              <w:rPr>
                <w:b w:val="0"/>
                <w:rFonts w:ascii="Arial" w:hAnsi="Arial" w:eastAsia="Arial" w:cs="Arial"/>
                <w:sz w:val="20"/>
                <w:szCs w:val="20"/>
              </w:rPr>
              <w:t>8. Operational distinction</w:t>
            </w:r>
          </w:p>
        </w:tc>
        <w:tc>
          <w:tcPr>
            <w:tcW w:type="dxa" w:w="3240"/>
            <w:vAlign w:val="top"/>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before="0" w:line="240" w:lineRule="auto"/>
            </w:pPr>
            <w:r>
              <w:rPr>
                <w:b w:val="0"/>
                <w:rFonts w:ascii="Arial" w:hAnsi="Arial" w:eastAsia="Arial" w:cs="Arial"/>
                <w:sz w:val="20"/>
                <w:szCs w:val="20"/>
              </w:rPr>
              <w:t>Turns available contrast into classed alternatives.</w:t>
            </w:r>
          </w:p>
        </w:tc>
        <w:tc>
          <w:tcPr>
            <w:tcW w:type="dxa" w:w="4608"/>
            <w:vAlign w:val="top"/>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before="0" w:line="240" w:lineRule="auto"/>
            </w:pPr>
            <w:r>
              <w:rPr>
                <w:b w:val="0"/>
                <w:rFonts w:ascii="Arial" w:hAnsi="Arial" w:eastAsia="Arial" w:cs="Arial"/>
                <w:sz w:val="20"/>
                <w:szCs w:val="20"/>
              </w:rPr>
              <w:t>OP; OA; same/different; signal/noise; relevant/irrelevant; present/absent.</w:t>
            </w:r>
          </w:p>
        </w:tc>
        <w:tc>
          <w:tcPr>
            <w:tcW w:type="dxa" w:w="4176"/>
            <w:vAlign w:val="top"/>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before="0" w:line="240" w:lineRule="auto"/>
            </w:pPr>
            <w:r>
              <w:rPr>
                <w:b w:val="0"/>
                <w:rFonts w:ascii="Arial" w:hAnsi="Arial" w:eastAsia="Arial" w:cs="Arial"/>
                <w:sz w:val="20"/>
                <w:szCs w:val="20"/>
              </w:rPr>
              <w:t>Do not call a persistent, propagating, or externally readable state OP unless it is available as contrast for the specified locus.</w:t>
            </w:r>
          </w:p>
        </w:tc>
      </w:tr>
      <w:tr>
        <w:trPr/>
        <w:tc>
          <w:tcPr>
            <w:tcW w:type="dxa" w:w="2376"/>
            <w:vAlign w:val="top"/>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before="0" w:line="240" w:lineRule="auto"/>
            </w:pPr>
            <w:r>
              <w:rPr>
                <w:b w:val="0"/>
                <w:rFonts w:ascii="Arial" w:hAnsi="Arial" w:eastAsia="Arial" w:cs="Arial"/>
                <w:sz w:val="20"/>
                <w:szCs w:val="20"/>
              </w:rPr>
              <w:t>9. Registration and retention</w:t>
            </w:r>
          </w:p>
        </w:tc>
        <w:tc>
          <w:tcPr>
            <w:tcW w:type="dxa" w:w="3240"/>
            <w:vAlign w:val="top"/>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before="0" w:line="240" w:lineRule="auto"/>
            </w:pPr>
            <w:r>
              <w:rPr>
                <w:b w:val="0"/>
                <w:rFonts w:ascii="Arial" w:hAnsi="Arial" w:eastAsia="Arial" w:cs="Arial"/>
                <w:sz w:val="20"/>
                <w:szCs w:val="20"/>
              </w:rPr>
              <w:t>Produces and preserves selected state.</w:t>
            </w:r>
          </w:p>
        </w:tc>
        <w:tc>
          <w:tcPr>
            <w:tcW w:type="dxa" w:w="4608"/>
            <w:vAlign w:val="top"/>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before="0" w:line="240" w:lineRule="auto"/>
            </w:pPr>
            <w:r>
              <w:rPr>
                <w:b w:val="0"/>
                <w:rFonts w:ascii="Arial" w:hAnsi="Arial" w:eastAsia="Arial" w:cs="Arial"/>
                <w:sz w:val="20"/>
                <w:szCs w:val="20"/>
              </w:rPr>
              <w:t>OR; RAS; operational horizon; reference scale.</w:t>
            </w:r>
          </w:p>
        </w:tc>
        <w:tc>
          <w:tcPr>
            <w:tcW w:type="dxa" w:w="4176"/>
            <w:vAlign w:val="top"/>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before="0" w:line="240" w:lineRule="auto"/>
            </w:pPr>
            <w:r>
              <w:rPr>
                <w:b w:val="0"/>
                <w:rFonts w:ascii="Arial" w:hAnsi="Arial" w:eastAsia="Arial" w:cs="Arial"/>
                <w:sz w:val="20"/>
                <w:szCs w:val="20"/>
              </w:rPr>
              <w:t>Do not collapse registration into retention or persistence into RAS. Once OA-keyed retention is earned, embodiment describes it; it is not another status. Retention does not establish warrant.</w:t>
            </w:r>
          </w:p>
        </w:tc>
      </w:tr>
      <w:tr>
        <w:trPr/>
        <w:tc>
          <w:tcPr>
            <w:tcW w:type="dxa" w:w="2376"/>
            <w:vAlign w:val="top"/>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before="0" w:line="240" w:lineRule="auto"/>
            </w:pPr>
            <w:r>
              <w:rPr>
                <w:b w:val="0"/>
                <w:rFonts w:ascii="Arial" w:hAnsi="Arial" w:eastAsia="Arial" w:cs="Arial"/>
                <w:sz w:val="20"/>
                <w:szCs w:val="20"/>
              </w:rPr>
              <w:t>10. Redeployment</w:t>
            </w:r>
          </w:p>
        </w:tc>
        <w:tc>
          <w:tcPr>
            <w:tcW w:type="dxa" w:w="3240"/>
            <w:vAlign w:val="top"/>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before="0" w:line="240" w:lineRule="auto"/>
            </w:pPr>
            <w:r>
              <w:rPr>
                <w:b w:val="0"/>
                <w:rFonts w:ascii="Arial" w:hAnsi="Arial" w:eastAsia="Arial" w:cs="Arial"/>
                <w:sz w:val="20"/>
                <w:szCs w:val="20"/>
              </w:rPr>
              <w:t>Makes retained distinction available to later branch-realisation.</w:t>
            </w:r>
          </w:p>
        </w:tc>
        <w:tc>
          <w:tcPr>
            <w:tcW w:type="dxa" w:w="4608"/>
            <w:vAlign w:val="top"/>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before="0" w:line="240" w:lineRule="auto"/>
            </w:pPr>
            <w:r>
              <w:rPr>
                <w:b w:val="0"/>
                <w:rFonts w:ascii="Arial" w:hAnsi="Arial" w:eastAsia="Arial" w:cs="Arial"/>
                <w:sz w:val="20"/>
                <w:szCs w:val="20"/>
              </w:rPr>
              <w:t>RSD; downstream transition; branch-space; comparator pressure.</w:t>
            </w:r>
          </w:p>
        </w:tc>
        <w:tc>
          <w:tcPr>
            <w:tcW w:type="dxa" w:w="4176"/>
            <w:vAlign w:val="top"/>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before="0" w:line="240" w:lineRule="auto"/>
            </w:pPr>
            <w:r>
              <w:rPr>
                <w:b w:val="0"/>
                <w:rFonts w:ascii="Arial" w:hAnsi="Arial" w:eastAsia="Arial" w:cs="Arial"/>
                <w:sz w:val="20"/>
                <w:szCs w:val="20"/>
              </w:rPr>
              <w:t>RSD is not a claim of knowledge, intelligence, technical observation, or life by itself; later facets must earn their statuses.</w:t>
            </w:r>
          </w:p>
        </w:tc>
      </w:tr>
      <w:tr>
        <w:trPr/>
        <w:tc>
          <w:tcPr>
            <w:tcW w:type="dxa" w:w="2376"/>
            <w:vAlign w:val="top"/>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before="0" w:line="240" w:lineRule="auto"/>
            </w:pPr>
            <w:r>
              <w:rPr>
                <w:b w:val="0"/>
                <w:rFonts w:ascii="Arial" w:hAnsi="Arial" w:eastAsia="Arial" w:cs="Arial"/>
                <w:sz w:val="20"/>
                <w:szCs w:val="20"/>
              </w:rPr>
              <w:t>11. Ontological target and model</w:t>
            </w:r>
          </w:p>
        </w:tc>
        <w:tc>
          <w:tcPr>
            <w:tcW w:type="dxa" w:w="3240"/>
            <w:vAlign w:val="top"/>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before="0" w:line="240" w:lineRule="auto"/>
            </w:pPr>
            <w:r>
              <w:rPr>
                <w:b w:val="0"/>
                <w:rFonts w:ascii="Arial" w:hAnsi="Arial" w:eastAsia="Arial" w:cs="Arial"/>
                <w:sz w:val="20"/>
                <w:szCs w:val="20"/>
              </w:rPr>
              <w:t>Connects finite access to realism.</w:t>
            </w:r>
          </w:p>
        </w:tc>
        <w:tc>
          <w:tcPr>
            <w:tcW w:type="dxa" w:w="4608"/>
            <w:vAlign w:val="top"/>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before="0" w:line="240" w:lineRule="auto"/>
            </w:pPr>
            <w:r>
              <w:rPr>
                <w:b w:val="0"/>
                <w:rFonts w:ascii="Arial" w:hAnsi="Arial" w:eastAsia="Arial" w:cs="Arial"/>
                <w:sz w:val="20"/>
                <w:szCs w:val="20"/>
              </w:rPr>
              <w:t>Target relation; access scaffold; finite model; indexed record.</w:t>
            </w:r>
          </w:p>
        </w:tc>
        <w:tc>
          <w:tcPr>
            <w:tcW w:type="dxa" w:w="4176"/>
            <w:vAlign w:val="top"/>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before="0" w:line="240" w:lineRule="auto"/>
            </w:pPr>
            <w:r>
              <w:rPr>
                <w:b w:val="0"/>
                <w:rFonts w:ascii="Arial" w:hAnsi="Arial" w:eastAsia="Arial" w:cs="Arial"/>
                <w:sz w:val="20"/>
                <w:szCs w:val="20"/>
              </w:rPr>
              <w:t>The model is constrained by the target but never exhausts it.</w:t>
            </w:r>
          </w:p>
        </w:tc>
      </w:tr>
      <w:tr>
        <w:trPr/>
        <w:tc>
          <w:tcPr>
            <w:tcW w:type="dxa" w:w="2376"/>
            <w:vAlign w:val="top"/>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before="0" w:line="240" w:lineRule="auto"/>
            </w:pPr>
            <w:r>
              <w:rPr>
                <w:b w:val="0"/>
                <w:rFonts w:ascii="Arial" w:hAnsi="Arial" w:eastAsia="Arial" w:cs="Arial"/>
                <w:sz w:val="20"/>
                <w:szCs w:val="20"/>
              </w:rPr>
              <w:t>12. Residual and closure discipline</w:t>
            </w:r>
          </w:p>
        </w:tc>
        <w:tc>
          <w:tcPr>
            <w:tcW w:type="dxa" w:w="3240"/>
            <w:vAlign w:val="top"/>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before="0" w:line="240" w:lineRule="auto"/>
            </w:pPr>
            <w:r>
              <w:rPr>
                <w:b w:val="0"/>
                <w:rFonts w:ascii="Arial" w:hAnsi="Arial" w:eastAsia="Arial" w:cs="Arial"/>
                <w:sz w:val="20"/>
                <w:szCs w:val="20"/>
              </w:rPr>
              <w:t>Prevents premature totalisation.</w:t>
            </w:r>
          </w:p>
        </w:tc>
        <w:tc>
          <w:tcPr>
            <w:tcW w:type="dxa" w:w="4608"/>
            <w:vAlign w:val="top"/>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before="0" w:line="240" w:lineRule="auto"/>
            </w:pPr>
            <w:r>
              <w:rPr>
                <w:b w:val="0"/>
                <w:rFonts w:ascii="Arial" w:hAnsi="Arial" w:eastAsia="Arial" w:cs="Arial"/>
                <w:sz w:val="20"/>
                <w:szCs w:val="20"/>
              </w:rPr>
              <w:t>Residual; correction; weakened claim; update condition; closure discipline.</w:t>
            </w:r>
          </w:p>
        </w:tc>
        <w:tc>
          <w:tcPr>
            <w:tcW w:type="dxa" w:w="4176"/>
            <w:vAlign w:val="top"/>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before="0" w:line="240" w:lineRule="auto"/>
            </w:pPr>
            <w:r>
              <w:rPr>
                <w:b w:val="0"/>
                <w:rFonts w:ascii="Arial" w:hAnsi="Arial" w:eastAsia="Arial" w:cs="Arial"/>
                <w:sz w:val="20"/>
                <w:szCs w:val="20"/>
              </w:rPr>
              <w:t>Residual is not failure, verdict, or explanation; it is carried remainder.</w:t>
            </w:r>
          </w:p>
        </w:tc>
      </w:tr>
    </w:tbl>
    <w:p>
      <w:pPr>
        <w:keepNext/>
        <w:widowControl/>
        <w:spacing w:line="240" w:lineRule="auto" w:before="0" w:after="0"/>
      </w:pPr>
      <w:r>
        <w:rPr>
          <w:rFonts w:ascii="Arial" w:hAnsi="Arial" w:eastAsia="Arial" w:cs="Arial"/>
          <w:sz w:val="22"/>
        </w:rPr>
      </w:r>
    </w:p>
    <w:p>
      <w:pPr>
        <w:pStyle w:val="Heading2"/>
        <w:keepNext/>
        <w:widowControl/>
      </w:pPr>
      <w:r>
        <w:rPr>
          <w:rFonts w:ascii="Arial" w:hAnsi="Arial" w:eastAsia="Arial" w:cs="Arial"/>
          <w:sz w:val="24"/>
        </w:rPr>
        <w:t>5.1 Paper 1c cross-cutting physical and derived relations</w:t>
      </w:r>
    </w:p>
    <w:tbl>
      <w:tblPr>
        <w:tblW w:type="auto" w:w="0"/>
        <w:jc w:val="center"/>
        <w:tblLayout w:type="autofit"/>
        <w:tblLook w:firstColumn="1" w:firstRow="1" w:lastColumn="0" w:lastRow="0" w:noHBand="0" w:noVBand="1" w:val="04A0"/>
        <w:tblBorders>
          <w:top w:val="single" w:sz="4" w:color="7F7F7F"/>
          <w:left w:val="single" w:sz="4" w:color="7F7F7F"/>
          <w:bottom w:val="single" w:sz="4" w:color="7F7F7F"/>
          <w:right w:val="single" w:sz="4" w:color="7F7F7F"/>
          <w:insideH w:val="single" w:sz="4" w:color="7F7F7F"/>
          <w:insideV w:val="single" w:sz="4" w:color="7F7F7F"/>
        </w:tblBorders>
      </w:tblPr>
      <w:tblGrid>
        <w:gridCol w:w="3636"/>
        <w:gridCol w:w="3636"/>
        <w:gridCol w:w="3636"/>
        <w:gridCol w:w="3636"/>
      </w:tblGrid>
      <w:tr>
        <w:trPr>
          <w:tblHeader w:val="1"/>
        </w:trPr>
        <w:tc>
          <w:tcPr>
            <w:tcW w:type="dxa" w:w="2376"/>
            <w:vAlign w:val="top"/>
            <w:shd w:fill="D9EAF7" w:val="clear"/>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before="0" w:line="240" w:lineRule="auto"/>
            </w:pPr>
            <w:r>
              <w:rPr>
                <w:rFonts w:ascii="Arial" w:hAnsi="Arial" w:eastAsia="Arial" w:cs="Arial"/>
                <w:sz w:val="20"/>
                <w:szCs w:val="20"/>
                <w:b/>
              </w:rPr>
              <w:t>Relation / level</w:t>
            </w:r>
          </w:p>
        </w:tc>
        <w:tc>
          <w:tcPr>
            <w:tcW w:type="dxa" w:w="3240"/>
            <w:vAlign w:val="top"/>
            <w:shd w:fill="D9EAF7" w:val="clear"/>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before="0" w:line="240" w:lineRule="auto"/>
            </w:pPr>
            <w:r>
              <w:rPr>
                <w:rFonts w:ascii="Arial" w:hAnsi="Arial" w:eastAsia="Arial" w:cs="Arial"/>
                <w:sz w:val="20"/>
                <w:szCs w:val="20"/>
                <w:b/>
              </w:rPr>
              <w:t>Function</w:t>
            </w:r>
          </w:p>
        </w:tc>
        <w:tc>
          <w:tcPr>
            <w:tcW w:type="dxa" w:w="4608"/>
            <w:vAlign w:val="top"/>
            <w:shd w:fill="D9EAF7" w:val="clear"/>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before="0" w:line="240" w:lineRule="auto"/>
            </w:pPr>
            <w:r>
              <w:rPr>
                <w:rFonts w:ascii="Arial" w:hAnsi="Arial" w:eastAsia="Arial" w:cs="Arial"/>
                <w:sz w:val="20"/>
                <w:szCs w:val="20"/>
                <w:b/>
              </w:rPr>
              <w:t>Source anchor</w:t>
            </w:r>
          </w:p>
        </w:tc>
        <w:tc>
          <w:tcPr>
            <w:tcW w:type="dxa" w:w="4176"/>
            <w:vAlign w:val="top"/>
            <w:shd w:fill="D9EAF7" w:val="clear"/>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before="0" w:line="240" w:lineRule="auto"/>
            </w:pPr>
            <w:r>
              <w:rPr>
                <w:rFonts w:ascii="Arial" w:hAnsi="Arial" w:eastAsia="Arial" w:cs="Arial"/>
                <w:sz w:val="20"/>
                <w:szCs w:val="20"/>
                <w:b/>
              </w:rPr>
              <w:t>Guardrail</w:t>
            </w:r>
          </w:p>
        </w:tc>
      </w:tr>
      <w:tr>
        <w:trPr/>
        <w:tc>
          <w:tcPr>
            <w:tcW w:type="dxa" w:w="2376"/>
            <w:vAlign w:val="top"/>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before="0" w:line="240" w:lineRule="auto"/>
            </w:pPr>
            <w:r>
              <w:rPr>
                <w:b w:val="0"/>
                <w:rFonts w:ascii="Arial" w:hAnsi="Arial" w:eastAsia="Arial" w:cs="Arial"/>
                <w:sz w:val="20"/>
                <w:szCs w:val="20"/>
              </w:rPr>
              <w:t>Relational index</w:t>
            </w:r>
          </w:p>
        </w:tc>
        <w:tc>
          <w:tcPr>
            <w:tcW w:type="dxa" w:w="3240"/>
            <w:vAlign w:val="top"/>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before="0" w:line="240" w:lineRule="auto"/>
            </w:pPr>
            <w:r>
              <w:rPr>
                <w:b w:val="0"/>
                <w:rFonts w:ascii="Arial" w:hAnsi="Arial" w:eastAsia="Arial" w:cs="Arial"/>
                <w:sz w:val="20"/>
                <w:szCs w:val="20"/>
              </w:rPr>
              <w:t>Physical depth and extension within which target, locus, and access paths occur.</w:t>
            </w:r>
          </w:p>
        </w:tc>
        <w:tc>
          <w:tcPr>
            <w:tcW w:type="dxa" w:w="4608"/>
            <w:vAlign w:val="top"/>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before="0" w:line="240" w:lineRule="auto"/>
            </w:pPr>
            <w:r>
              <w:rPr>
                <w:b w:val="0"/>
                <w:rFonts w:ascii="Arial" w:hAnsi="Arial" w:eastAsia="Arial" w:cs="Arial"/>
                <w:sz w:val="20"/>
                <w:szCs w:val="20"/>
              </w:rPr>
              <w:t>Paper 1c, headings 1.1-1.3</w:t>
            </w:r>
          </w:p>
        </w:tc>
        <w:tc>
          <w:tcPr>
            <w:tcW w:type="dxa" w:w="4176"/>
            <w:vAlign w:val="top"/>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before="0" w:line="240" w:lineRule="auto"/>
            </w:pPr>
            <w:r>
              <w:rPr>
                <w:b w:val="0"/>
                <w:rFonts w:ascii="Arial" w:hAnsi="Arial" w:eastAsia="Arial" w:cs="Arial"/>
                <w:sz w:val="20"/>
                <w:szCs w:val="20"/>
              </w:rPr>
              <w:t>Not a finite reference index, an observer inventory, or the Form of one target.</w:t>
            </w:r>
          </w:p>
        </w:tc>
      </w:tr>
      <w:tr>
        <w:trPr/>
        <w:tc>
          <w:tcPr>
            <w:tcW w:type="dxa" w:w="2376"/>
            <w:vAlign w:val="top"/>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before="0" w:line="240" w:lineRule="auto"/>
            </w:pPr>
            <w:r>
              <w:rPr>
                <w:b w:val="0"/>
                <w:rFonts w:ascii="Arial" w:hAnsi="Arial" w:eastAsia="Arial" w:cs="Arial"/>
                <w:sz w:val="20"/>
                <w:szCs w:val="20"/>
              </w:rPr>
              <w:t>Target-locus coupling</w:t>
            </w:r>
          </w:p>
        </w:tc>
        <w:tc>
          <w:tcPr>
            <w:tcW w:type="dxa" w:w="3240"/>
            <w:vAlign w:val="top"/>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before="0" w:line="240" w:lineRule="auto"/>
            </w:pPr>
            <w:r>
              <w:rPr>
                <w:b w:val="0"/>
                <w:rFonts w:ascii="Arial" w:hAnsi="Arial" w:eastAsia="Arial" w:cs="Arial"/>
                <w:sz w:val="20"/>
                <w:szCs w:val="20"/>
              </w:rPr>
              <w:t>Inherited organisations enter interaction and produce a new local relation.</w:t>
            </w:r>
          </w:p>
        </w:tc>
        <w:tc>
          <w:tcPr>
            <w:tcW w:type="dxa" w:w="4608"/>
            <w:vAlign w:val="top"/>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before="0" w:line="240" w:lineRule="auto"/>
            </w:pPr>
            <w:r>
              <w:rPr>
                <w:b w:val="0"/>
                <w:rFonts w:ascii="Arial" w:hAnsi="Arial" w:eastAsia="Arial" w:cs="Arial"/>
                <w:sz w:val="20"/>
                <w:szCs w:val="20"/>
              </w:rPr>
              <w:t>Paper 1c, headings 2.1-2.2</w:t>
            </w:r>
          </w:p>
        </w:tc>
        <w:tc>
          <w:tcPr>
            <w:tcW w:type="dxa" w:w="4176"/>
            <w:vAlign w:val="top"/>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before="0" w:line="240" w:lineRule="auto"/>
            </w:pPr>
            <w:r>
              <w:rPr>
                <w:b w:val="0"/>
                <w:rFonts w:ascii="Arial" w:hAnsi="Arial" w:eastAsia="Arial" w:cs="Arial"/>
                <w:sz w:val="20"/>
                <w:szCs w:val="20"/>
              </w:rPr>
              <w:t>Coupling alone does not earn OP/OA/OR/RAS for the claim.</w:t>
            </w:r>
          </w:p>
        </w:tc>
      </w:tr>
      <w:tr>
        <w:trPr/>
        <w:tc>
          <w:tcPr>
            <w:tcW w:type="dxa" w:w="2376"/>
            <w:vAlign w:val="top"/>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before="0" w:line="240" w:lineRule="auto"/>
            </w:pPr>
            <w:r>
              <w:rPr>
                <w:b w:val="0"/>
                <w:rFonts w:ascii="Arial" w:hAnsi="Arial" w:eastAsia="Arial" w:cs="Arial"/>
                <w:sz w:val="20"/>
                <w:szCs w:val="20"/>
              </w:rPr>
              <w:t>Embodiment</w:t>
            </w:r>
          </w:p>
        </w:tc>
        <w:tc>
          <w:tcPr>
            <w:tcW w:type="dxa" w:w="3240"/>
            <w:vAlign w:val="top"/>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before="0" w:line="240" w:lineRule="auto"/>
            </w:pPr>
            <w:r>
              <w:rPr>
                <w:b w:val="0"/>
                <w:rFonts w:ascii="Arial" w:hAnsi="Arial" w:eastAsia="Arial" w:cs="Arial"/>
                <w:sz w:val="20"/>
                <w:szCs w:val="20"/>
              </w:rPr>
              <w:t>OA-keyed retained physical state instantiates the abstraction.</w:t>
            </w:r>
          </w:p>
        </w:tc>
        <w:tc>
          <w:tcPr>
            <w:tcW w:type="dxa" w:w="4608"/>
            <w:vAlign w:val="top"/>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before="0" w:line="240" w:lineRule="auto"/>
            </w:pPr>
            <w:r>
              <w:rPr>
                <w:b w:val="0"/>
                <w:rFonts w:ascii="Arial" w:hAnsi="Arial" w:eastAsia="Arial" w:cs="Arial"/>
                <w:sz w:val="20"/>
                <w:szCs w:val="20"/>
              </w:rPr>
              <w:t>Paper 1c, heading 2.3</w:t>
            </w:r>
          </w:p>
        </w:tc>
        <w:tc>
          <w:tcPr>
            <w:tcW w:type="dxa" w:w="4176"/>
            <w:vAlign w:val="top"/>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before="0" w:line="240" w:lineRule="auto"/>
            </w:pPr>
            <w:r>
              <w:rPr>
                <w:b w:val="0"/>
                <w:rFonts w:ascii="Arial" w:hAnsi="Arial" w:eastAsia="Arial" w:cs="Arial"/>
                <w:sz w:val="20"/>
                <w:szCs w:val="20"/>
              </w:rPr>
              <w:t>RAS remains primitive; no extra retention threshold.</w:t>
            </w:r>
          </w:p>
        </w:tc>
      </w:tr>
      <w:tr>
        <w:trPr/>
        <w:tc>
          <w:tcPr>
            <w:tcW w:type="dxa" w:w="2376"/>
            <w:vAlign w:val="top"/>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before="0" w:line="240" w:lineRule="auto"/>
            </w:pPr>
            <w:r>
              <w:rPr>
                <w:b w:val="0"/>
                <w:rFonts w:ascii="Arial" w:hAnsi="Arial" w:eastAsia="Arial" w:cs="Arial"/>
                <w:sz w:val="20"/>
                <w:szCs w:val="20"/>
              </w:rPr>
              <w:t>Relational Reachability</w:t>
            </w:r>
          </w:p>
        </w:tc>
        <w:tc>
          <w:tcPr>
            <w:tcW w:type="dxa" w:w="3240"/>
            <w:vAlign w:val="top"/>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before="0" w:line="240" w:lineRule="auto"/>
            </w:pPr>
            <w:r>
              <w:rPr>
                <w:b w:val="0"/>
                <w:rFonts w:ascii="Arial" w:hAnsi="Arial" w:eastAsia="Arial" w:cs="Arial"/>
                <w:sz w:val="20"/>
                <w:szCs w:val="20"/>
              </w:rPr>
              <w:t>Present organisation and scaffold support immediate or constructible relation formation.</w:t>
            </w:r>
          </w:p>
        </w:tc>
        <w:tc>
          <w:tcPr>
            <w:tcW w:type="dxa" w:w="4608"/>
            <w:vAlign w:val="top"/>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before="0" w:line="240" w:lineRule="auto"/>
            </w:pPr>
            <w:r>
              <w:rPr>
                <w:b w:val="0"/>
                <w:rFonts w:ascii="Arial" w:hAnsi="Arial" w:eastAsia="Arial" w:cs="Arial"/>
                <w:sz w:val="20"/>
                <w:szCs w:val="20"/>
              </w:rPr>
              <w:t>Paper 1c, heading 2.4</w:t>
            </w:r>
          </w:p>
        </w:tc>
        <w:tc>
          <w:tcPr>
            <w:tcW w:type="dxa" w:w="4176"/>
            <w:vAlign w:val="top"/>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before="0" w:line="240" w:lineRule="auto"/>
            </w:pPr>
            <w:r>
              <w:rPr>
                <w:b w:val="0"/>
                <w:rFonts w:ascii="Arial" w:hAnsi="Arial" w:eastAsia="Arial" w:cs="Arial"/>
                <w:sz w:val="20"/>
                <w:szCs w:val="20"/>
              </w:rPr>
              <w:t>Formation is not ingress, already-known content, or abstract possibility.</w:t>
            </w:r>
          </w:p>
        </w:tc>
      </w:tr>
      <w:tr>
        <w:trPr/>
        <w:tc>
          <w:tcPr>
            <w:tcW w:type="dxa" w:w="2376"/>
            <w:vAlign w:val="top"/>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before="0" w:line="240" w:lineRule="auto"/>
            </w:pPr>
            <w:r>
              <w:rPr>
                <w:b w:val="0"/>
                <w:rFonts w:ascii="Arial" w:hAnsi="Arial" w:eastAsia="Arial" w:cs="Arial"/>
                <w:sz w:val="20"/>
                <w:szCs w:val="20"/>
              </w:rPr>
              <w:t>Relational Form</w:t>
            </w:r>
          </w:p>
        </w:tc>
        <w:tc>
          <w:tcPr>
            <w:tcW w:type="dxa" w:w="3240"/>
            <w:vAlign w:val="top"/>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before="0" w:line="240" w:lineRule="auto"/>
            </w:pPr>
            <w:r>
              <w:rPr>
                <w:b w:val="0"/>
                <w:rFonts w:ascii="Arial" w:hAnsi="Arial" w:eastAsia="Arial" w:cs="Arial"/>
                <w:sz w:val="20"/>
                <w:szCs w:val="20"/>
              </w:rPr>
              <w:t>Distributed relations track the same grounded distinction, including supported potential.</w:t>
            </w:r>
          </w:p>
        </w:tc>
        <w:tc>
          <w:tcPr>
            <w:tcW w:type="dxa" w:w="4608"/>
            <w:vAlign w:val="top"/>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before="0" w:line="240" w:lineRule="auto"/>
            </w:pPr>
            <w:r>
              <w:rPr>
                <w:b w:val="0"/>
                <w:rFonts w:ascii="Arial" w:hAnsi="Arial" w:eastAsia="Arial" w:cs="Arial"/>
                <w:sz w:val="20"/>
                <w:szCs w:val="20"/>
              </w:rPr>
              <w:t>Paper 1c, headings 3.1-3.4</w:t>
            </w:r>
          </w:p>
        </w:tc>
        <w:tc>
          <w:tcPr>
            <w:tcW w:type="dxa" w:w="4176"/>
            <w:vAlign w:val="top"/>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before="0" w:line="240" w:lineRule="auto"/>
            </w:pPr>
            <w:r>
              <w:rPr>
                <w:b w:val="0"/>
                <w:rFonts w:ascii="Arial" w:hAnsi="Arial" w:eastAsia="Arial" w:cs="Arial"/>
                <w:sz w:val="20"/>
                <w:szCs w:val="20"/>
              </w:rPr>
              <w:t>Not one model, all causal history, a truth-only set, or an ideal object outside physical relation.</w:t>
            </w:r>
          </w:p>
        </w:tc>
      </w:tr>
      <w:tr>
        <w:trPr/>
        <w:tc>
          <w:tcPr>
            <w:tcW w:type="dxa" w:w="2376"/>
            <w:vAlign w:val="top"/>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before="0" w:line="240" w:lineRule="auto"/>
            </w:pPr>
            <w:r>
              <w:rPr>
                <w:b w:val="0"/>
                <w:rFonts w:ascii="Arial" w:hAnsi="Arial" w:eastAsia="Arial" w:cs="Arial"/>
                <w:sz w:val="20"/>
                <w:szCs w:val="20"/>
              </w:rPr>
              <w:t>Relational propagation</w:t>
            </w:r>
          </w:p>
        </w:tc>
        <w:tc>
          <w:tcPr>
            <w:tcW w:type="dxa" w:w="3240"/>
            <w:vAlign w:val="top"/>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before="0" w:line="240" w:lineRule="auto"/>
            </w:pPr>
            <w:r>
              <w:rPr>
                <w:b w:val="0"/>
                <w:rFonts w:ascii="Arial" w:hAnsi="Arial" w:eastAsia="Arial" w:cs="Arial"/>
                <w:sz w:val="20"/>
                <w:szCs w:val="20"/>
              </w:rPr>
              <w:t>Selected contrast survives transformations and can be reconstructed locally.</w:t>
            </w:r>
          </w:p>
        </w:tc>
        <w:tc>
          <w:tcPr>
            <w:tcW w:type="dxa" w:w="4608"/>
            <w:vAlign w:val="top"/>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before="0" w:line="240" w:lineRule="auto"/>
            </w:pPr>
            <w:r>
              <w:rPr>
                <w:b w:val="0"/>
                <w:rFonts w:ascii="Arial" w:hAnsi="Arial" w:eastAsia="Arial" w:cs="Arial"/>
                <w:sz w:val="20"/>
                <w:szCs w:val="20"/>
              </w:rPr>
              <w:t>Paper 1c, headings 4.1-4.3</w:t>
            </w:r>
          </w:p>
        </w:tc>
        <w:tc>
          <w:tcPr>
            <w:tcW w:type="dxa" w:w="4176"/>
            <w:vAlign w:val="top"/>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before="0" w:line="240" w:lineRule="auto"/>
            </w:pPr>
            <w:r>
              <w:rPr>
                <w:b w:val="0"/>
                <w:rFonts w:ascii="Arial" w:hAnsi="Arial" w:eastAsia="Arial" w:cs="Arial"/>
                <w:sz w:val="20"/>
                <w:szCs w:val="20"/>
              </w:rPr>
              <w:t>No completed semantic object transfers intact; adequacy remains target-constrained.</w:t>
            </w:r>
          </w:p>
        </w:tc>
      </w:tr>
    </w:tbl>
    <w:p>
      <w:pPr>
        <w:keepNext/>
        <w:widowControl/>
        <w:spacing w:line="240" w:lineRule="auto" w:before="0" w:after="0"/>
      </w:pPr>
      <w:r>
        <w:rPr>
          <w:rFonts w:ascii="Arial" w:hAnsi="Arial" w:eastAsia="Arial" w:cs="Arial"/>
          <w:sz w:val="22"/>
        </w:rPr>
      </w:r>
    </w:p>
    <w:p>
      <w:pPr>
        <w:rPr>
          <w:rFonts w:ascii="Arial" w:hAnsi="Arial" w:eastAsia="Arial" w:cs="Arial"/>
          <w:sz w:val="30"/>
          <w:szCs w:val="30"/>
          <w:b w:val="1"/>
          <w:color w:val="1F4E79"/>
        </w:rPr>
        <w:pStyle w:val="Heading1"/>
        <w:widowControl/>
        <w:spacing w:before="80" w:after="40" w:line="240" w:lineRule="auto"/>
        <w:keepNext/>
        <w:keepLines/>
      </w:pPr>
      <w:r>
        <w:rPr>
          <w:rFonts w:ascii="Arial" w:hAnsi="Arial" w:eastAsia="Arial" w:cs="Arial"/>
          <w:sz w:val="30"/>
          <w:szCs w:val="30"/>
          <w:b w:val="1"/>
          <w:color w:val="1F4E79"/>
        </w:rPr>
        <w:t>6. Dependency spine</w:t>
      </w:r>
    </w:p>
    <w:tbl>
      <w:tblPr>
        <w:tblW w:type="auto" w:w="0"/>
        <w:jc w:val="center"/>
        <w:tblLayout w:type="autofit"/>
        <w:tblLook w:firstColumn="1" w:firstRow="1" w:lastColumn="0" w:lastRow="0" w:noHBand="0" w:noVBand="1" w:val="04A0"/>
        <w:tblBorders>
          <w:top w:val="single" w:sz="4" w:color="7F7F7F"/>
          <w:left w:val="single" w:sz="4" w:color="7F7F7F"/>
          <w:bottom w:val="single" w:sz="4" w:color="7F7F7F"/>
          <w:right w:val="single" w:sz="4" w:color="7F7F7F"/>
          <w:insideH w:val="single" w:sz="4" w:color="7F7F7F"/>
          <w:insideV w:val="single" w:sz="4" w:color="7F7F7F"/>
        </w:tblBorders>
      </w:tblPr>
      <w:tblGrid>
        <w:gridCol w:w="3636"/>
        <w:gridCol w:w="3636"/>
        <w:gridCol w:w="3636"/>
        <w:gridCol w:w="3636"/>
      </w:tblGrid>
      <w:tr>
        <w:trPr>
          <w:tblHeader w:val="1"/>
        </w:trPr>
        <w:tc>
          <w:tcPr>
            <w:tcW w:type="dxa" w:w="792"/>
            <w:vAlign w:val="top"/>
            <w:shd w:fill="D9EAF7" w:val="clear"/>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before="0" w:line="240" w:lineRule="auto"/>
            </w:pPr>
            <w:r>
              <w:rPr>
                <w:rFonts w:ascii="Arial" w:hAnsi="Arial" w:eastAsia="Arial" w:cs="Arial"/>
                <w:sz w:val="20"/>
                <w:szCs w:val="20"/>
                <w:b/>
              </w:rPr>
              <w:t>Step</w:t>
            </w:r>
          </w:p>
        </w:tc>
        <w:tc>
          <w:tcPr>
            <w:tcW w:type="dxa" w:w="4608"/>
            <w:vAlign w:val="top"/>
            <w:shd w:fill="D9EAF7" w:val="clear"/>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before="0" w:line="240" w:lineRule="auto"/>
            </w:pPr>
            <w:r>
              <w:rPr>
                <w:rFonts w:ascii="Arial" w:hAnsi="Arial" w:eastAsia="Arial" w:cs="Arial"/>
                <w:sz w:val="20"/>
                <w:szCs w:val="20"/>
                <w:b/>
              </w:rPr>
              <w:t>Dependency</w:t>
            </w:r>
          </w:p>
        </w:tc>
        <w:tc>
          <w:tcPr>
            <w:tcW w:type="dxa" w:w="4464"/>
            <w:vAlign w:val="top"/>
            <w:shd w:fill="D9EAF7" w:val="clear"/>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before="0" w:line="240" w:lineRule="auto"/>
            </w:pPr>
            <w:r>
              <w:rPr>
                <w:rFonts w:ascii="Arial" w:hAnsi="Arial" w:eastAsia="Arial" w:cs="Arial"/>
                <w:sz w:val="20"/>
                <w:szCs w:val="20"/>
                <w:b/>
              </w:rPr>
              <w:t>Output</w:t>
            </w:r>
          </w:p>
        </w:tc>
        <w:tc>
          <w:tcPr>
            <w:tcW w:type="dxa" w:w="4464"/>
            <w:vAlign w:val="top"/>
            <w:shd w:fill="D9EAF7" w:val="clear"/>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before="0" w:line="240" w:lineRule="auto"/>
            </w:pPr>
            <w:r>
              <w:rPr>
                <w:rFonts w:ascii="Arial" w:hAnsi="Arial" w:eastAsia="Arial" w:cs="Arial"/>
                <w:sz w:val="20"/>
                <w:szCs w:val="20"/>
                <w:b/>
              </w:rPr>
              <w:t>If missing / collapsed</w:t>
            </w:r>
          </w:p>
        </w:tc>
      </w:tr>
      <w:tr>
        <w:trPr/>
        <w:tc>
          <w:tcPr>
            <w:tcW w:type="dxa" w:w="792"/>
            <w:vAlign w:val="top"/>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before="0" w:line="240" w:lineRule="auto"/>
            </w:pPr>
            <w:r>
              <w:rPr>
                <w:b w:val="0"/>
                <w:rFonts w:ascii="Arial" w:hAnsi="Arial" w:eastAsia="Arial" w:cs="Arial"/>
                <w:sz w:val="20"/>
                <w:szCs w:val="20"/>
              </w:rPr>
              <w:t>1</w:t>
            </w:r>
          </w:p>
        </w:tc>
        <w:tc>
          <w:tcPr>
            <w:tcW w:type="dxa" w:w="4608"/>
            <w:vAlign w:val="top"/>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before="0" w:line="240" w:lineRule="auto"/>
            </w:pPr>
            <w:r>
              <w:rPr>
                <w:b w:val="0"/>
                <w:rFonts w:ascii="Arial" w:hAnsi="Arial" w:eastAsia="Arial" w:cs="Arial"/>
                <w:sz w:val="20"/>
                <w:szCs w:val="20"/>
              </w:rPr>
              <w:t>Substrate difference may exist independently of access.</w:t>
            </w:r>
          </w:p>
        </w:tc>
        <w:tc>
          <w:tcPr>
            <w:tcW w:type="dxa" w:w="4464"/>
            <w:vAlign w:val="top"/>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before="0" w:line="240" w:lineRule="auto"/>
            </w:pPr>
            <w:r>
              <w:rPr>
                <w:b w:val="0"/>
                <w:rFonts w:ascii="Arial" w:hAnsi="Arial" w:eastAsia="Arial" w:cs="Arial"/>
                <w:sz w:val="20"/>
                <w:szCs w:val="20"/>
              </w:rPr>
              <w:t>Realist ground: difference need not be observed to be real.</w:t>
            </w:r>
          </w:p>
        </w:tc>
        <w:tc>
          <w:tcPr>
            <w:tcW w:type="dxa" w:w="4464"/>
            <w:vAlign w:val="top"/>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before="0" w:line="240" w:lineRule="auto"/>
            </w:pPr>
            <w:r>
              <w:rPr>
                <w:b w:val="0"/>
                <w:rFonts w:ascii="Arial" w:hAnsi="Arial" w:eastAsia="Arial" w:cs="Arial"/>
                <w:sz w:val="20"/>
                <w:szCs w:val="20"/>
              </w:rPr>
              <w:t>Constructivist collapse.</w:t>
            </w:r>
          </w:p>
        </w:tc>
      </w:tr>
      <w:tr>
        <w:trPr/>
        <w:tc>
          <w:tcPr>
            <w:tcW w:type="dxa" w:w="792"/>
            <w:vAlign w:val="top"/>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before="0" w:line="240" w:lineRule="auto"/>
            </w:pPr>
            <w:r>
              <w:rPr>
                <w:b w:val="0"/>
                <w:rFonts w:ascii="Arial" w:hAnsi="Arial" w:eastAsia="Arial" w:cs="Arial"/>
                <w:sz w:val="20"/>
                <w:szCs w:val="20"/>
              </w:rPr>
              <w:t>2</w:t>
            </w:r>
          </w:p>
        </w:tc>
        <w:tc>
          <w:tcPr>
            <w:tcW w:type="dxa" w:w="4608"/>
            <w:vAlign w:val="top"/>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before="0" w:line="240" w:lineRule="auto"/>
            </w:pPr>
            <w:r>
              <w:rPr>
                <w:b w:val="0"/>
                <w:rFonts w:ascii="Arial" w:hAnsi="Arial" w:eastAsia="Arial" w:cs="Arial"/>
                <w:sz w:val="20"/>
                <w:szCs w:val="20"/>
              </w:rPr>
              <w:t>Interaction produces physical variation.</w:t>
            </w:r>
          </w:p>
        </w:tc>
        <w:tc>
          <w:tcPr>
            <w:tcW w:type="dxa" w:w="4464"/>
            <w:vAlign w:val="top"/>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before="0" w:line="240" w:lineRule="auto"/>
            </w:pPr>
            <w:r>
              <w:rPr>
                <w:b w:val="0"/>
                <w:rFonts w:ascii="Arial" w:hAnsi="Arial" w:eastAsia="Arial" w:cs="Arial"/>
                <w:sz w:val="20"/>
                <w:szCs w:val="20"/>
              </w:rPr>
              <w:t>Uneven physical state evolution below established RRP availability.</w:t>
            </w:r>
          </w:p>
        </w:tc>
        <w:tc>
          <w:tcPr>
            <w:tcW w:type="dxa" w:w="4464"/>
            <w:vAlign w:val="top"/>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before="0" w:line="240" w:lineRule="auto"/>
            </w:pPr>
            <w:r>
              <w:rPr>
                <w:b w:val="0"/>
                <w:rFonts w:ascii="Arial" w:hAnsi="Arial" w:eastAsia="Arial" w:cs="Arial"/>
                <w:sz w:val="20"/>
                <w:szCs w:val="20"/>
              </w:rPr>
              <w:t>RRP-indexed information attributed to mere change.</w:t>
            </w:r>
          </w:p>
        </w:tc>
      </w:tr>
      <w:tr>
        <w:trPr/>
        <w:tc>
          <w:tcPr>
            <w:tcW w:type="dxa" w:w="792"/>
            <w:vAlign w:val="top"/>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before="0" w:line="240" w:lineRule="auto"/>
            </w:pPr>
            <w:r>
              <w:rPr>
                <w:b w:val="0"/>
                <w:rFonts w:ascii="Arial" w:hAnsi="Arial" w:eastAsia="Arial" w:cs="Arial"/>
                <w:sz w:val="20"/>
                <w:szCs w:val="20"/>
              </w:rPr>
              <w:t>3</w:t>
            </w:r>
          </w:p>
        </w:tc>
        <w:tc>
          <w:tcPr>
            <w:tcW w:type="dxa" w:w="4608"/>
            <w:vAlign w:val="top"/>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before="0" w:line="240" w:lineRule="auto"/>
            </w:pPr>
            <w:r>
              <w:rPr>
                <w:b w:val="0"/>
                <w:rFonts w:ascii="Arial" w:hAnsi="Arial" w:eastAsia="Arial" w:cs="Arial"/>
                <w:sz w:val="20"/>
                <w:szCs w:val="20"/>
              </w:rPr>
              <w:t>Variation may persist locally, propagate, or leave a physical residue.</w:t>
            </w:r>
          </w:p>
        </w:tc>
        <w:tc>
          <w:tcPr>
            <w:tcW w:type="dxa" w:w="4464"/>
            <w:vAlign w:val="top"/>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before="0" w:line="240" w:lineRule="auto"/>
            </w:pPr>
            <w:r>
              <w:rPr>
                <w:b w:val="0"/>
                <w:rFonts w:ascii="Arial" w:hAnsi="Arial" w:eastAsia="Arial" w:cs="Arial"/>
                <w:sz w:val="20"/>
                <w:szCs w:val="20"/>
              </w:rPr>
              <w:t>Physical continuity or after-effect without a new informational status.</w:t>
            </w:r>
          </w:p>
        </w:tc>
        <w:tc>
          <w:tcPr>
            <w:tcW w:type="dxa" w:w="4464"/>
            <w:vAlign w:val="top"/>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before="0" w:line="240" w:lineRule="auto"/>
            </w:pPr>
            <w:r>
              <w:rPr>
                <w:b w:val="0"/>
                <w:rFonts w:ascii="Arial" w:hAnsi="Arial" w:eastAsia="Arial" w:cs="Arial"/>
                <w:sz w:val="20"/>
                <w:szCs w:val="20"/>
              </w:rPr>
              <w:t>Persistence or residue treated as signal, OP, or RAS.</w:t>
            </w:r>
          </w:p>
        </w:tc>
      </w:tr>
      <w:tr>
        <w:trPr/>
        <w:tc>
          <w:tcPr>
            <w:tcW w:type="dxa" w:w="792"/>
            <w:vAlign w:val="top"/>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before="0" w:line="240" w:lineRule="auto"/>
            </w:pPr>
            <w:r>
              <w:rPr>
                <w:b w:val="0"/>
                <w:rFonts w:ascii="Arial" w:hAnsi="Arial" w:eastAsia="Arial" w:cs="Arial"/>
                <w:sz w:val="20"/>
                <w:szCs w:val="20"/>
              </w:rPr>
              <w:t>4</w:t>
            </w:r>
          </w:p>
        </w:tc>
        <w:tc>
          <w:tcPr>
            <w:tcW w:type="dxa" w:w="4608"/>
            <w:vAlign w:val="top"/>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before="0" w:line="240" w:lineRule="auto"/>
            </w:pPr>
            <w:r>
              <w:rPr>
                <w:b w:val="0"/>
                <w:rFonts w:ascii="Arial" w:hAnsi="Arial" w:eastAsia="Arial" w:cs="Arial"/>
                <w:sz w:val="20"/>
                <w:szCs w:val="20"/>
              </w:rPr>
              <w:t>Some variation becomes signal-bearing where contrast is preserved through a medium.</w:t>
            </w:r>
          </w:p>
        </w:tc>
        <w:tc>
          <w:tcPr>
            <w:tcW w:type="dxa" w:w="4464"/>
            <w:vAlign w:val="top"/>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before="0" w:line="240" w:lineRule="auto"/>
            </w:pPr>
            <w:r>
              <w:rPr>
                <w:b w:val="0"/>
                <w:rFonts w:ascii="Arial" w:hAnsi="Arial" w:eastAsia="Arial" w:cs="Arial"/>
                <w:sz w:val="20"/>
                <w:szCs w:val="20"/>
              </w:rPr>
              <w:t>Preserved contrast under possible discrimination conditions.</w:t>
            </w:r>
          </w:p>
        </w:tc>
        <w:tc>
          <w:tcPr>
            <w:tcW w:type="dxa" w:w="4464"/>
            <w:vAlign w:val="top"/>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before="0" w:line="240" w:lineRule="auto"/>
            </w:pPr>
            <w:r>
              <w:rPr>
                <w:b w:val="0"/>
                <w:rFonts w:ascii="Arial" w:hAnsi="Arial" w:eastAsia="Arial" w:cs="Arial"/>
                <w:sz w:val="20"/>
                <w:szCs w:val="20"/>
              </w:rPr>
              <w:t>Every variation, persistence, propagation, or residue called signal.</w:t>
            </w:r>
          </w:p>
        </w:tc>
      </w:tr>
      <w:tr>
        <w:trPr/>
        <w:tc>
          <w:tcPr>
            <w:tcW w:type="dxa" w:w="792"/>
            <w:vAlign w:val="top"/>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before="0" w:line="240" w:lineRule="auto"/>
            </w:pPr>
            <w:r>
              <w:rPr>
                <w:b w:val="0"/>
                <w:rFonts w:ascii="Arial" w:hAnsi="Arial" w:eastAsia="Arial" w:cs="Arial"/>
                <w:sz w:val="20"/>
                <w:szCs w:val="20"/>
              </w:rPr>
              <w:t>5</w:t>
            </w:r>
          </w:p>
        </w:tc>
        <w:tc>
          <w:tcPr>
            <w:tcW w:type="dxa" w:w="4608"/>
            <w:vAlign w:val="top"/>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before="0" w:line="240" w:lineRule="auto"/>
            </w:pPr>
            <w:r>
              <w:rPr>
                <w:b w:val="0"/>
                <w:rFonts w:ascii="Arial" w:hAnsi="Arial" w:eastAsia="Arial" w:cs="Arial"/>
                <w:sz w:val="20"/>
                <w:szCs w:val="20"/>
              </w:rPr>
              <w:t>Signal-bearing contrast may become channel-discriminable.</w:t>
            </w:r>
          </w:p>
        </w:tc>
        <w:tc>
          <w:tcPr>
            <w:tcW w:type="dxa" w:w="4464"/>
            <w:vAlign w:val="top"/>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before="0" w:line="240" w:lineRule="auto"/>
            </w:pPr>
            <w:r>
              <w:rPr>
                <w:b w:val="0"/>
                <w:rFonts w:ascii="Arial" w:hAnsi="Arial" w:eastAsia="Arial" w:cs="Arial"/>
                <w:sz w:val="20"/>
                <w:szCs w:val="20"/>
              </w:rPr>
              <w:t>Contrast survives channel, noise, alphabet, coding, and receiver or locus conditions.</w:t>
            </w:r>
          </w:p>
        </w:tc>
        <w:tc>
          <w:tcPr>
            <w:tcW w:type="dxa" w:w="4464"/>
            <w:vAlign w:val="top"/>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before="0" w:line="240" w:lineRule="auto"/>
            </w:pPr>
            <w:r>
              <w:rPr>
                <w:b w:val="0"/>
                <w:rFonts w:ascii="Arial" w:hAnsi="Arial" w:eastAsia="Arial" w:cs="Arial"/>
                <w:sz w:val="20"/>
                <w:szCs w:val="20"/>
              </w:rPr>
              <w:t>SIT treated as the complete theory or its conditions left unspecified.</w:t>
            </w:r>
          </w:p>
        </w:tc>
      </w:tr>
      <w:tr>
        <w:trPr/>
        <w:tc>
          <w:tcPr>
            <w:tcW w:type="dxa" w:w="792"/>
            <w:vAlign w:val="top"/>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before="0" w:line="240" w:lineRule="auto"/>
            </w:pPr>
            <w:r>
              <w:rPr>
                <w:b w:val="0"/>
                <w:rFonts w:ascii="Arial" w:hAnsi="Arial" w:eastAsia="Arial" w:cs="Arial"/>
                <w:sz w:val="20"/>
                <w:szCs w:val="20"/>
              </w:rPr>
              <w:t>6</w:t>
            </w:r>
          </w:p>
        </w:tc>
        <w:tc>
          <w:tcPr>
            <w:tcW w:type="dxa" w:w="4608"/>
            <w:vAlign w:val="top"/>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before="0" w:line="240" w:lineRule="auto"/>
            </w:pPr>
            <w:r>
              <w:rPr>
                <w:b w:val="0"/>
                <w:rFonts w:ascii="Arial" w:hAnsi="Arial" w:eastAsia="Arial" w:cs="Arial"/>
                <w:sz w:val="20"/>
                <w:szCs w:val="20"/>
              </w:rPr>
              <w:t>RRP specifies locus-interface-regime.</w:t>
            </w:r>
          </w:p>
        </w:tc>
        <w:tc>
          <w:tcPr>
            <w:tcW w:type="dxa" w:w="4464"/>
            <w:vAlign w:val="top"/>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before="0" w:line="240" w:lineRule="auto"/>
            </w:pPr>
            <w:r>
              <w:rPr>
                <w:b w:val="0"/>
                <w:rFonts w:ascii="Arial" w:hAnsi="Arial" w:eastAsia="Arial" w:cs="Arial"/>
                <w:sz w:val="20"/>
                <w:szCs w:val="20"/>
              </w:rPr>
              <w:t>The operational informational question becomes evaluable.</w:t>
            </w:r>
          </w:p>
        </w:tc>
        <w:tc>
          <w:tcPr>
            <w:tcW w:type="dxa" w:w="4464"/>
            <w:vAlign w:val="top"/>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before="0" w:line="240" w:lineRule="auto"/>
            </w:pPr>
            <w:r>
              <w:rPr>
                <w:b w:val="0"/>
                <w:rFonts w:ascii="Arial" w:hAnsi="Arial" w:eastAsia="Arial" w:cs="Arial"/>
                <w:sz w:val="20"/>
                <w:szCs w:val="20"/>
              </w:rPr>
              <w:t>Distinction attributed without a reference node.</w:t>
            </w:r>
          </w:p>
        </w:tc>
      </w:tr>
      <w:tr>
        <w:trPr/>
        <w:tc>
          <w:tcPr>
            <w:tcW w:type="dxa" w:w="792"/>
            <w:vAlign w:val="top"/>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before="0" w:line="240" w:lineRule="auto"/>
            </w:pPr>
            <w:r>
              <w:rPr>
                <w:b w:val="0"/>
                <w:rFonts w:ascii="Arial" w:hAnsi="Arial" w:eastAsia="Arial" w:cs="Arial"/>
                <w:sz w:val="20"/>
                <w:szCs w:val="20"/>
              </w:rPr>
              <w:t>7</w:t>
            </w:r>
          </w:p>
        </w:tc>
        <w:tc>
          <w:tcPr>
            <w:tcW w:type="dxa" w:w="4608"/>
            <w:vAlign w:val="top"/>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before="0" w:line="240" w:lineRule="auto"/>
            </w:pPr>
            <w:r>
              <w:rPr>
                <w:b w:val="0"/>
                <w:rFonts w:ascii="Arial" w:hAnsi="Arial" w:eastAsia="Arial" w:cs="Arial"/>
                <w:sz w:val="20"/>
                <w:szCs w:val="20"/>
              </w:rPr>
              <w:t>OP makes contrast available.</w:t>
            </w:r>
          </w:p>
        </w:tc>
        <w:tc>
          <w:tcPr>
            <w:tcW w:type="dxa" w:w="4464"/>
            <w:vAlign w:val="top"/>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before="0" w:line="240" w:lineRule="auto"/>
            </w:pPr>
            <w:r>
              <w:rPr>
                <w:b w:val="0"/>
                <w:rFonts w:ascii="Arial" w:hAnsi="Arial" w:eastAsia="Arial" w:cs="Arial"/>
                <w:sz w:val="20"/>
                <w:szCs w:val="20"/>
              </w:rPr>
              <w:t>Available contrast field for the locus.</w:t>
            </w:r>
          </w:p>
        </w:tc>
        <w:tc>
          <w:tcPr>
            <w:tcW w:type="dxa" w:w="4464"/>
            <w:vAlign w:val="top"/>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before="0" w:line="240" w:lineRule="auto"/>
            </w:pPr>
            <w:r>
              <w:rPr>
                <w:b w:val="0"/>
                <w:rFonts w:ascii="Arial" w:hAnsi="Arial" w:eastAsia="Arial" w:cs="Arial"/>
                <w:sz w:val="20"/>
                <w:szCs w:val="20"/>
              </w:rPr>
              <w:t>External analyst readability replaces system availability.</w:t>
            </w:r>
          </w:p>
        </w:tc>
      </w:tr>
      <w:tr>
        <w:trPr/>
        <w:tc>
          <w:tcPr>
            <w:tcW w:type="dxa" w:w="792"/>
            <w:vAlign w:val="top"/>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before="0" w:line="240" w:lineRule="auto"/>
            </w:pPr>
            <w:r>
              <w:rPr>
                <w:b w:val="0"/>
                <w:rFonts w:ascii="Arial" w:hAnsi="Arial" w:eastAsia="Arial" w:cs="Arial"/>
                <w:sz w:val="20"/>
                <w:szCs w:val="20"/>
              </w:rPr>
              <w:t>8</w:t>
            </w:r>
          </w:p>
        </w:tc>
        <w:tc>
          <w:tcPr>
            <w:tcW w:type="dxa" w:w="4608"/>
            <w:vAlign w:val="top"/>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before="0" w:line="240" w:lineRule="auto"/>
            </w:pPr>
            <w:r>
              <w:rPr>
                <w:b w:val="0"/>
                <w:rFonts w:ascii="Arial" w:hAnsi="Arial" w:eastAsia="Arial" w:cs="Arial"/>
                <w:sz w:val="20"/>
                <w:szCs w:val="20"/>
              </w:rPr>
              <w:t>OA classes available contrast.</w:t>
            </w:r>
          </w:p>
        </w:tc>
        <w:tc>
          <w:tcPr>
            <w:tcW w:type="dxa" w:w="4464"/>
            <w:vAlign w:val="top"/>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before="0" w:line="240" w:lineRule="auto"/>
            </w:pPr>
            <w:r>
              <w:rPr>
                <w:b w:val="0"/>
                <w:rFonts w:ascii="Arial" w:hAnsi="Arial" w:eastAsia="Arial" w:cs="Arial"/>
                <w:sz w:val="20"/>
                <w:szCs w:val="20"/>
              </w:rPr>
              <w:t>Registerable alternatives are formed.</w:t>
            </w:r>
          </w:p>
        </w:tc>
        <w:tc>
          <w:tcPr>
            <w:tcW w:type="dxa" w:w="4464"/>
            <w:vAlign w:val="top"/>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before="0" w:line="240" w:lineRule="auto"/>
            </w:pPr>
            <w:r>
              <w:rPr>
                <w:b w:val="0"/>
                <w:rFonts w:ascii="Arial" w:hAnsi="Arial" w:eastAsia="Arial" w:cs="Arial"/>
                <w:sz w:val="20"/>
                <w:szCs w:val="20"/>
              </w:rPr>
              <w:t>Unclassed contrast treated as token.</w:t>
            </w:r>
          </w:p>
        </w:tc>
      </w:tr>
      <w:tr>
        <w:trPr/>
        <w:tc>
          <w:tcPr>
            <w:tcW w:type="dxa" w:w="792"/>
            <w:vAlign w:val="top"/>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before="0" w:line="240" w:lineRule="auto"/>
            </w:pPr>
            <w:r>
              <w:rPr>
                <w:b w:val="0"/>
                <w:rFonts w:ascii="Arial" w:hAnsi="Arial" w:eastAsia="Arial" w:cs="Arial"/>
                <w:sz w:val="20"/>
                <w:szCs w:val="20"/>
              </w:rPr>
              <w:t>9</w:t>
            </w:r>
          </w:p>
        </w:tc>
        <w:tc>
          <w:tcPr>
            <w:tcW w:type="dxa" w:w="4608"/>
            <w:vAlign w:val="top"/>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before="0" w:line="240" w:lineRule="auto"/>
            </w:pPr>
            <w:r>
              <w:rPr>
                <w:b w:val="0"/>
                <w:rFonts w:ascii="Arial" w:hAnsi="Arial" w:eastAsia="Arial" w:cs="Arial"/>
                <w:sz w:val="20"/>
                <w:szCs w:val="20"/>
              </w:rPr>
              <w:t>OR registers one classed alternative.</w:t>
            </w:r>
          </w:p>
        </w:tc>
        <w:tc>
          <w:tcPr>
            <w:tcW w:type="dxa" w:w="4464"/>
            <w:vAlign w:val="top"/>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before="0" w:line="240" w:lineRule="auto"/>
            </w:pPr>
            <w:r>
              <w:rPr>
                <w:b w:val="0"/>
                <w:rFonts w:ascii="Arial" w:hAnsi="Arial" w:eastAsia="Arial" w:cs="Arial"/>
                <w:sz w:val="20"/>
                <w:szCs w:val="20"/>
              </w:rPr>
              <w:t>A selected state occurs.</w:t>
            </w:r>
          </w:p>
        </w:tc>
        <w:tc>
          <w:tcPr>
            <w:tcW w:type="dxa" w:w="4464"/>
            <w:vAlign w:val="top"/>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before="0" w:line="240" w:lineRule="auto"/>
            </w:pPr>
            <w:r>
              <w:rPr>
                <w:b w:val="0"/>
                <w:rFonts w:ascii="Arial" w:hAnsi="Arial" w:eastAsia="Arial" w:cs="Arial"/>
                <w:sz w:val="20"/>
                <w:szCs w:val="20"/>
              </w:rPr>
              <w:t>Perturbation treated as registration.</w:t>
            </w:r>
          </w:p>
        </w:tc>
      </w:tr>
      <w:tr>
        <w:trPr/>
        <w:tc>
          <w:tcPr>
            <w:tcW w:type="dxa" w:w="792"/>
            <w:vAlign w:val="top"/>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before="0" w:line="240" w:lineRule="auto"/>
            </w:pPr>
            <w:r>
              <w:rPr>
                <w:b w:val="0"/>
                <w:rFonts w:ascii="Arial" w:hAnsi="Arial" w:eastAsia="Arial" w:cs="Arial"/>
                <w:sz w:val="20"/>
                <w:szCs w:val="20"/>
              </w:rPr>
              <w:t>10</w:t>
            </w:r>
          </w:p>
        </w:tc>
        <w:tc>
          <w:tcPr>
            <w:tcW w:type="dxa" w:w="4608"/>
            <w:vAlign w:val="top"/>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before="0" w:line="240" w:lineRule="auto"/>
            </w:pPr>
            <w:r>
              <w:rPr>
                <w:b w:val="0"/>
                <w:rFonts w:ascii="Arial" w:hAnsi="Arial" w:eastAsia="Arial" w:cs="Arial"/>
                <w:sz w:val="20"/>
                <w:szCs w:val="20"/>
              </w:rPr>
              <w:t>RAS retains registration over a horizon.</w:t>
            </w:r>
          </w:p>
        </w:tc>
        <w:tc>
          <w:tcPr>
            <w:tcW w:type="dxa" w:w="4464"/>
            <w:vAlign w:val="top"/>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before="0" w:line="240" w:lineRule="auto"/>
            </w:pPr>
            <w:r>
              <w:rPr>
                <w:b w:val="0"/>
                <w:rFonts w:ascii="Arial" w:hAnsi="Arial" w:eastAsia="Arial" w:cs="Arial"/>
                <w:sz w:val="20"/>
                <w:szCs w:val="20"/>
              </w:rPr>
              <w:t>Present accessible state preserves prior distinction.</w:t>
            </w:r>
          </w:p>
        </w:tc>
        <w:tc>
          <w:tcPr>
            <w:tcW w:type="dxa" w:w="4464"/>
            <w:vAlign w:val="top"/>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before="0" w:line="240" w:lineRule="auto"/>
            </w:pPr>
            <w:r>
              <w:rPr>
                <w:b w:val="0"/>
                <w:rFonts w:ascii="Arial" w:hAnsi="Arial" w:eastAsia="Arial" w:cs="Arial"/>
                <w:sz w:val="20"/>
                <w:szCs w:val="20"/>
              </w:rPr>
              <w:t>Persistent matter-state treated as record without OR/OA/RRP.</w:t>
            </w:r>
          </w:p>
        </w:tc>
      </w:tr>
      <w:tr>
        <w:trPr/>
        <w:tc>
          <w:tcPr>
            <w:tcW w:type="dxa" w:w="792"/>
            <w:vAlign w:val="top"/>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before="0" w:line="240" w:lineRule="auto"/>
            </w:pPr>
            <w:r>
              <w:rPr>
                <w:b w:val="0"/>
                <w:rFonts w:ascii="Arial" w:hAnsi="Arial" w:eastAsia="Arial" w:cs="Arial"/>
                <w:sz w:val="20"/>
                <w:szCs w:val="20"/>
              </w:rPr>
              <w:t>11</w:t>
            </w:r>
          </w:p>
        </w:tc>
        <w:tc>
          <w:tcPr>
            <w:tcW w:type="dxa" w:w="4608"/>
            <w:vAlign w:val="top"/>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before="0" w:line="240" w:lineRule="auto"/>
            </w:pPr>
            <w:r>
              <w:rPr>
                <w:b w:val="0"/>
                <w:rFonts w:ascii="Arial" w:hAnsi="Arial" w:eastAsia="Arial" w:cs="Arial"/>
                <w:sz w:val="20"/>
                <w:szCs w:val="20"/>
              </w:rPr>
              <w:t>RSD redeploys retained distinction.</w:t>
            </w:r>
          </w:p>
        </w:tc>
        <w:tc>
          <w:tcPr>
            <w:tcW w:type="dxa" w:w="4464"/>
            <w:vAlign w:val="top"/>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before="0" w:line="240" w:lineRule="auto"/>
            </w:pPr>
            <w:r>
              <w:rPr>
                <w:b w:val="0"/>
                <w:rFonts w:ascii="Arial" w:hAnsi="Arial" w:eastAsia="Arial" w:cs="Arial"/>
                <w:sz w:val="20"/>
                <w:szCs w:val="20"/>
              </w:rPr>
              <w:t>Retained distinction can shape later branch-realisation.</w:t>
            </w:r>
          </w:p>
        </w:tc>
        <w:tc>
          <w:tcPr>
            <w:tcW w:type="dxa" w:w="4464"/>
            <w:vAlign w:val="top"/>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before="0" w:line="240" w:lineRule="auto"/>
            </w:pPr>
            <w:r>
              <w:rPr>
                <w:b w:val="0"/>
                <w:rFonts w:ascii="Arial" w:hAnsi="Arial" w:eastAsia="Arial" w:cs="Arial"/>
                <w:sz w:val="20"/>
                <w:szCs w:val="20"/>
              </w:rPr>
              <w:t>Redeployment assumed merely because a record exists.</w:t>
            </w:r>
          </w:p>
        </w:tc>
      </w:tr>
      <w:tr>
        <w:trPr/>
        <w:tc>
          <w:tcPr>
            <w:tcW w:type="dxa" w:w="792"/>
            <w:vAlign w:val="top"/>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before="0" w:line="240" w:lineRule="auto"/>
            </w:pPr>
            <w:r>
              <w:rPr>
                <w:b w:val="0"/>
                <w:rFonts w:ascii="Arial" w:hAnsi="Arial" w:eastAsia="Arial" w:cs="Arial"/>
                <w:sz w:val="20"/>
                <w:szCs w:val="20"/>
              </w:rPr>
              <w:t>12</w:t>
            </w:r>
          </w:p>
        </w:tc>
        <w:tc>
          <w:tcPr>
            <w:tcW w:type="dxa" w:w="4608"/>
            <w:vAlign w:val="top"/>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before="0" w:line="240" w:lineRule="auto"/>
            </w:pPr>
            <w:r>
              <w:rPr>
                <w:b w:val="0"/>
                <w:rFonts w:ascii="Arial" w:hAnsi="Arial" w:eastAsia="Arial" w:cs="Arial"/>
                <w:sz w:val="20"/>
                <w:szCs w:val="20"/>
              </w:rPr>
              <w:t>Reference-indexed realism models the target relation.</w:t>
            </w:r>
          </w:p>
        </w:tc>
        <w:tc>
          <w:tcPr>
            <w:tcW w:type="dxa" w:w="4464"/>
            <w:vAlign w:val="top"/>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before="0" w:line="240" w:lineRule="auto"/>
            </w:pPr>
            <w:r>
              <w:rPr>
                <w:b w:val="0"/>
                <w:rFonts w:ascii="Arial" w:hAnsi="Arial" w:eastAsia="Arial" w:cs="Arial"/>
                <w:sz w:val="20"/>
                <w:szCs w:val="20"/>
              </w:rPr>
              <w:t>Finite model or record approximates target under access constraints.</w:t>
            </w:r>
          </w:p>
        </w:tc>
        <w:tc>
          <w:tcPr>
            <w:tcW w:type="dxa" w:w="4464"/>
            <w:vAlign w:val="top"/>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before="0" w:line="240" w:lineRule="auto"/>
            </w:pPr>
            <w:r>
              <w:rPr>
                <w:b w:val="0"/>
                <w:rFonts w:ascii="Arial" w:hAnsi="Arial" w:eastAsia="Arial" w:cs="Arial"/>
                <w:sz w:val="20"/>
                <w:szCs w:val="20"/>
              </w:rPr>
              <w:t>Model mistaken for target whole.</w:t>
            </w:r>
          </w:p>
        </w:tc>
      </w:tr>
      <w:tr>
        <w:trPr/>
        <w:tc>
          <w:tcPr>
            <w:tcW w:type="dxa" w:w="792"/>
            <w:vAlign w:val="top"/>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before="0" w:line="240" w:lineRule="auto"/>
            </w:pPr>
            <w:r>
              <w:rPr>
                <w:b w:val="0"/>
                <w:rFonts w:ascii="Arial" w:hAnsi="Arial" w:eastAsia="Arial" w:cs="Arial"/>
                <w:sz w:val="20"/>
                <w:szCs w:val="20"/>
              </w:rPr>
              <w:t>13</w:t>
            </w:r>
          </w:p>
        </w:tc>
        <w:tc>
          <w:tcPr>
            <w:tcW w:type="dxa" w:w="4608"/>
            <w:vAlign w:val="top"/>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before="0" w:line="240" w:lineRule="auto"/>
            </w:pPr>
            <w:r>
              <w:rPr>
                <w:b w:val="0"/>
                <w:rFonts w:ascii="Arial" w:hAnsi="Arial" w:eastAsia="Arial" w:cs="Arial"/>
                <w:sz w:val="20"/>
                <w:szCs w:val="20"/>
              </w:rPr>
              <w:t>Residual prevents premature closure.</w:t>
            </w:r>
          </w:p>
        </w:tc>
        <w:tc>
          <w:tcPr>
            <w:tcW w:type="dxa" w:w="4464"/>
            <w:vAlign w:val="top"/>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before="0" w:line="240" w:lineRule="auto"/>
            </w:pPr>
            <w:r>
              <w:rPr>
                <w:b w:val="0"/>
                <w:rFonts w:ascii="Arial" w:hAnsi="Arial" w:eastAsia="Arial" w:cs="Arial"/>
                <w:sz w:val="20"/>
                <w:szCs w:val="20"/>
              </w:rPr>
              <w:t>Unpreserved, untested, or unresolved remainder remains explicit.</w:t>
            </w:r>
          </w:p>
        </w:tc>
        <w:tc>
          <w:tcPr>
            <w:tcW w:type="dxa" w:w="4464"/>
            <w:vAlign w:val="top"/>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before="0" w:line="240" w:lineRule="auto"/>
            </w:pPr>
            <w:r>
              <w:rPr>
                <w:b w:val="0"/>
                <w:rFonts w:ascii="Arial" w:hAnsi="Arial" w:eastAsia="Arial" w:cs="Arial"/>
                <w:sz w:val="20"/>
                <w:szCs w:val="20"/>
              </w:rPr>
              <w:t>Residual hidden inside warrant, truth, or final ontology.</w:t>
            </w:r>
          </w:p>
        </w:tc>
      </w:tr>
    </w:tbl>
    <w:p>
      <w:pPr>
        <w:rPr>
          <w:rFonts w:ascii="Arial" w:hAnsi="Arial" w:eastAsia="Arial" w:cs="Arial"/>
          <w:sz w:val="22"/>
          <w:szCs w:val="22"/>
        </w:rPr>
        <w:widowControl/>
        <w:spacing w:before="0" w:after="0" w:line="240" w:lineRule="auto"/>
        <w:keepNext/>
      </w:pPr>
      <w:r>
        <w:rPr>
          <w:rFonts w:ascii="Arial" w:hAnsi="Arial" w:eastAsia="Arial" w:cs="Arial"/>
          <w:sz w:val="22"/>
        </w:rPr>
      </w:r>
    </w:p>
    <w:p>
      <w:pPr>
        <w:widowControl/>
      </w:pPr>
      <w:r>
        <w:rPr>
          <w:rFonts w:ascii="Arial" w:hAnsi="Arial" w:eastAsia="Arial" w:cs="Arial"/>
          <w:sz w:val="22"/>
        </w:rPr>
        <w:t>Paper 1c adds a recursive dependence, not a later primitive: prior RAS and its redeployment can condition later OP, OA, and relation formation; new retention changes the locus again. Physically supported intermediate relations can extend reach. A later receiver still establishes its own indexed path. Source: Paper 1c, heading 2.4 and headings 4.2-5.3.</w:t>
      </w:r>
    </w:p>
    <w:p>
      <w:pPr>
        <w:rPr>
          <w:rFonts w:ascii="Arial" w:hAnsi="Arial" w:eastAsia="Arial" w:cs="Arial"/>
          <w:sz w:val="30"/>
          <w:szCs w:val="30"/>
          <w:b w:val="1"/>
          <w:color w:val="1F4E79"/>
        </w:rPr>
        <w:pStyle w:val="Heading1"/>
        <w:widowControl/>
        <w:spacing w:before="80" w:after="40" w:line="240" w:lineRule="auto"/>
        <w:keepNext/>
        <w:keepLines/>
      </w:pPr>
      <w:r>
        <w:rPr>
          <w:rFonts w:ascii="Arial" w:hAnsi="Arial" w:eastAsia="Arial" w:cs="Arial"/>
          <w:sz w:val="30"/>
          <w:szCs w:val="30"/>
          <w:b w:val="1"/>
          <w:color w:val="1F4E79"/>
        </w:rPr>
        <w:t>7. Paper-by-paper compression</w:t>
      </w:r>
    </w:p>
    <w:tbl>
      <w:tblPr>
        <w:tblW w:type="auto" w:w="0"/>
        <w:jc w:val="center"/>
        <w:tblLayout w:type="autofit"/>
        <w:tblLook w:firstColumn="1" w:firstRow="1" w:lastColumn="0" w:lastRow="0" w:noHBand="0" w:noVBand="1" w:val="04A0"/>
        <w:tblBorders>
          <w:top w:val="single" w:sz="4" w:color="7F7F7F"/>
          <w:left w:val="single" w:sz="4" w:color="7F7F7F"/>
          <w:bottom w:val="single" w:sz="4" w:color="7F7F7F"/>
          <w:right w:val="single" w:sz="4" w:color="7F7F7F"/>
          <w:insideH w:val="single" w:sz="4" w:color="7F7F7F"/>
          <w:insideV w:val="single" w:sz="4" w:color="7F7F7F"/>
        </w:tblBorders>
      </w:tblPr>
      <w:tblGrid>
        <w:gridCol w:w="4848"/>
        <w:gridCol w:w="4848"/>
        <w:gridCol w:w="4848"/>
      </w:tblGrid>
      <w:tr>
        <w:trPr>
          <w:tblHeader w:val="1"/>
        </w:trPr>
        <w:tc>
          <w:tcPr>
            <w:tcW w:type="dxa" w:w="2880"/>
            <w:vAlign w:val="top"/>
            <w:shd w:fill="D9EAF7" w:val="clear"/>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before="0" w:line="240" w:lineRule="auto"/>
            </w:pPr>
            <w:r>
              <w:rPr>
                <w:rFonts w:ascii="Arial" w:hAnsi="Arial" w:eastAsia="Arial" w:cs="Arial"/>
                <w:sz w:val="20"/>
                <w:szCs w:val="20"/>
                <w:b/>
              </w:rPr>
              <w:t>Canonical paper</w:t>
            </w:r>
          </w:p>
        </w:tc>
        <w:tc>
          <w:tcPr>
            <w:tcW w:type="dxa" w:w="7488"/>
            <w:vAlign w:val="top"/>
            <w:shd w:fill="D9EAF7" w:val="clear"/>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before="0" w:line="240" w:lineRule="auto"/>
            </w:pPr>
            <w:r>
              <w:rPr>
                <w:rFonts w:ascii="Arial" w:hAnsi="Arial" w:eastAsia="Arial" w:cs="Arial"/>
                <w:sz w:val="20"/>
                <w:szCs w:val="20"/>
                <w:b/>
              </w:rPr>
              <w:t>Compression</w:t>
            </w:r>
          </w:p>
        </w:tc>
        <w:tc>
          <w:tcPr>
            <w:tcW w:type="dxa" w:w="4032"/>
            <w:vAlign w:val="top"/>
            <w:shd w:fill="D9EAF7" w:val="clear"/>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before="0" w:line="240" w:lineRule="auto"/>
            </w:pPr>
            <w:r>
              <w:rPr>
                <w:rFonts w:ascii="Arial" w:hAnsi="Arial" w:eastAsia="Arial" w:cs="Arial"/>
                <w:sz w:val="20"/>
                <w:szCs w:val="20"/>
                <w:b/>
              </w:rPr>
              <w:t>Primary guardrail</w:t>
            </w:r>
          </w:p>
        </w:tc>
      </w:tr>
      <w:tr>
        <w:trPr/>
        <w:tc>
          <w:tcPr>
            <w:tcW w:type="dxa" w:w="2880"/>
            <w:vAlign w:val="top"/>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before="0" w:line="240" w:lineRule="auto"/>
            </w:pPr>
            <w:r>
              <w:rPr>
                <w:b w:val="0"/>
                <w:rFonts w:ascii="Arial" w:hAnsi="Arial" w:eastAsia="Arial" w:cs="Arial"/>
                <w:sz w:val="20"/>
                <w:szCs w:val="20"/>
              </w:rPr>
              <w:t>Paper 1 - Relative Reference Points</w:t>
            </w:r>
          </w:p>
        </w:tc>
        <w:tc>
          <w:tcPr>
            <w:tcW w:type="dxa" w:w="7488"/>
            <w:vAlign w:val="top"/>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before="0" w:line="240" w:lineRule="auto"/>
            </w:pPr>
            <w:r>
              <w:rPr>
                <w:b w:val="0"/>
                <w:rFonts w:ascii="Arial" w:hAnsi="Arial" w:eastAsia="Arial" w:cs="Arial"/>
                <w:sz w:val="20"/>
                <w:szCs w:val="20"/>
              </w:rPr>
              <w:t>Defines information for a locus as relational operational distinction and installs the RRP Set. Physical difference alone does not establish that status, although the same state may be informational under other legitimate regimes. RRP fixes the reference node; OP supplies contrast; OA classes contrast; OR registers; RAS retains; RSD redeploys. The paper blocks pan-informational attribution and empty constructivism by insisting that the relation is relative while the constraint is real.</w:t>
            </w:r>
          </w:p>
        </w:tc>
        <w:tc>
          <w:tcPr>
            <w:tcW w:type="dxa" w:w="4032"/>
            <w:vAlign w:val="top"/>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before="0" w:line="240" w:lineRule="auto"/>
            </w:pPr>
            <w:r>
              <w:rPr>
                <w:b w:val="0"/>
                <w:rFonts w:ascii="Arial" w:hAnsi="Arial" w:eastAsia="Arial" w:cs="Arial"/>
                <w:sz w:val="20"/>
                <w:szCs w:val="20"/>
              </w:rPr>
              <w:t>Do not treat RRP as human viewpoint, subjective perspective, semantic interpretation, or arbitrary analytical convenience. Do not silently move the locus across relations or turn the scoped RRP definition into a universal revocation of other information disciplines.</w:t>
            </w:r>
          </w:p>
        </w:tc>
      </w:tr>
      <w:tr>
        <w:trPr/>
        <w:tc>
          <w:tcPr>
            <w:tcW w:type="dxa" w:w="2880"/>
            <w:vAlign w:val="top"/>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before="0" w:line="240" w:lineRule="auto"/>
            </w:pPr>
            <w:r>
              <w:rPr>
                <w:b w:val="0"/>
                <w:rFonts w:ascii="Arial" w:hAnsi="Arial" w:eastAsia="Arial" w:cs="Arial"/>
                <w:sz w:val="20"/>
                <w:szCs w:val="20"/>
              </w:rPr>
              <w:t>Paper 1a - From Noise Cometh Signal</w:t>
            </w:r>
          </w:p>
        </w:tc>
        <w:tc>
          <w:tcPr>
            <w:tcW w:type="dxa" w:w="7488"/>
            <w:vAlign w:val="top"/>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before="0" w:line="240" w:lineRule="auto"/>
            </w:pPr>
            <w:r>
              <w:rPr>
                <w:b w:val="0"/>
                <w:rFonts w:ascii="Arial" w:hAnsi="Arial" w:eastAsia="Arial" w:cs="Arial"/>
                <w:sz w:val="20"/>
                <w:szCs w:val="20"/>
              </w:rPr>
              <w:t>Grounds the physical pathway into RRP. Interaction produces variation. Variation may persist, propagate, or leave residue, but these remain physical properties. Signal begins where contrast is preserved through a medium under possible discrimination conditions; channel-discriminable contrast may enter the RRP Set as available distinction. The paper places thermodynamic information and SIT within their own regimes and defines the Locus Event Horizon as the ingress-boundary of possible relation for a finite locus.</w:t>
            </w:r>
          </w:p>
        </w:tc>
        <w:tc>
          <w:tcPr>
            <w:tcW w:type="dxa" w:w="4032"/>
            <w:vAlign w:val="top"/>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before="0" w:line="240" w:lineRule="auto"/>
            </w:pPr>
            <w:r>
              <w:rPr>
                <w:b w:val="0"/>
                <w:rFonts w:ascii="Arial" w:hAnsi="Arial" w:eastAsia="Arial" w:cs="Arial"/>
                <w:sz w:val="20"/>
                <w:szCs w:val="20"/>
              </w:rPr>
              <w:t>Do not call every physical variation signal. Do not call every signal RRP-indexed information for the evaluated locus. Do not reintroduce persistence, propagation, or residue as an independent stage, call any persistent effect RAS, or call preserved contrast NTC without comparator-stable downstream dependence.</w:t>
            </w:r>
          </w:p>
        </w:tc>
      </w:tr>
      <w:tr>
        <w:trPr/>
        <w:tc>
          <w:tcPr>
            <w:tcW w:type="dxa" w:w="2880"/>
            <w:vAlign w:val="top"/>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before="0" w:line="240" w:lineRule="auto"/>
            </w:pPr>
            <w:r>
              <w:rPr>
                <w:b w:val="0"/>
                <w:rFonts w:ascii="Arial" w:hAnsi="Arial" w:eastAsia="Arial" w:cs="Arial"/>
                <w:sz w:val="20"/>
                <w:szCs w:val="20"/>
              </w:rPr>
              <w:t>Paper 1b - Reference-Indexed Realism</w:t>
            </w:r>
          </w:p>
        </w:tc>
        <w:tc>
          <w:tcPr>
            <w:tcW w:type="dxa" w:w="7488"/>
            <w:vAlign w:val="top"/>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before="0" w:line="240" w:lineRule="auto"/>
            </w:pPr>
            <w:r>
              <w:rPr>
                <w:b w:val="0"/>
                <w:rFonts w:ascii="Arial" w:hAnsi="Arial" w:eastAsia="Arial" w:cs="Arial"/>
                <w:sz w:val="20"/>
                <w:szCs w:val="20"/>
              </w:rPr>
              <w:t>Draws the realism-facing consequence. Unindexed realism is unstable because the real requires contrast with the unreal while the unreal returns as experience, possibility, abstraction, institution, model, norm, error, or force. Reference-indexed realism treats finite realism claims as target-constrained, access-limited, residual-bearing models formed through the RRP scaffold. The target constrains; the observer constricts; the scaffold couples; the residual prevents premature closure.</w:t>
            </w:r>
          </w:p>
        </w:tc>
        <w:tc>
          <w:tcPr>
            <w:tcW w:type="dxa" w:w="4032"/>
            <w:vAlign w:val="top"/>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before="0" w:line="240" w:lineRule="auto"/>
            </w:pPr>
            <w:r>
              <w:rPr>
                <w:b w:val="0"/>
                <w:rFonts w:ascii="Arial" w:hAnsi="Arial" w:eastAsia="Arial" w:cs="Arial"/>
                <w:sz w:val="20"/>
                <w:szCs w:val="20"/>
              </w:rPr>
              <w:t>Do not convert indexing into relativism. Do not convert target constraint into naive possession. Do not treat broad observation as an unmediated certificate, or residual as defeat, scepticism, or an optional afterthought.</w:t>
            </w:r>
          </w:p>
        </w:tc>
      </w:tr>
      <w:tr>
        <w:trPr/>
        <w:tc>
          <w:tcPr>
            <w:tcW w:type="dxa" w:w="2880"/>
            <w:vAlign w:val="top"/>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before="0" w:line="240" w:lineRule="auto"/>
            </w:pPr>
            <w:r>
              <w:rPr>
                <w:b w:val="0"/>
                <w:rFonts w:ascii="Arial" w:hAnsi="Arial" w:eastAsia="Arial" w:cs="Arial"/>
                <w:sz w:val="20"/>
                <w:szCs w:val="20"/>
              </w:rPr>
              <w:t>Paper 1c - Relational Form</w:t>
            </w:r>
          </w:p>
        </w:tc>
        <w:tc>
          <w:tcPr>
            <w:tcW w:type="dxa" w:w="7488"/>
            <w:vAlign w:val="top"/>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before="0" w:line="240" w:lineRule="auto"/>
            </w:pPr>
            <w:r>
              <w:rPr>
                <w:b w:val="0"/>
                <w:rFonts w:ascii="Arial" w:hAnsi="Arial" w:eastAsia="Arial" w:cs="Arial"/>
                <w:sz w:val="20"/>
                <w:szCs w:val="20"/>
              </w:rPr>
              <w:t>Locates target and locus in a wider physical relational index; shows coupling, abstraction, and OA-keyed retention as physical grounding; derives historical, scaffold-dependent reachability; and follows target-tracking relation across substrates and potential instances as Relational Form. Representation follows relation, and propagated contrast must be reconstructed by the receiving locus.</w:t>
            </w:r>
          </w:p>
        </w:tc>
        <w:tc>
          <w:tcPr>
            <w:tcW w:type="dxa" w:w="4032"/>
            <w:vAlign w:val="top"/>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before="0" w:line="240" w:lineRule="auto"/>
            </w:pPr>
            <w:r>
              <w:rPr>
                <w:b w:val="0"/>
                <w:rFonts w:ascii="Arial" w:hAnsi="Arial" w:eastAsia="Arial" w:cs="Arial"/>
                <w:sz w:val="20"/>
                <w:szCs w:val="20"/>
              </w:rPr>
              <w:t>Do not add a primitive or status after RAS, collapse ingress into formation, turn supported potential into a present instance, equate Form with index or complete model, transfer meaning intact, or infer truth/NTC/Observer status from physical retention.</w:t>
            </w:r>
          </w:p>
        </w:tc>
      </w:tr>
    </w:tbl>
    <w:p>
      <w:pPr>
        <w:keepNext/>
        <w:widowControl/>
        <w:spacing w:line="240" w:lineRule="auto" w:before="0" w:after="0"/>
      </w:pPr>
      <w:r>
        <w:rPr>
          <w:rFonts w:ascii="Arial" w:hAnsi="Arial" w:eastAsia="Arial" w:cs="Arial"/>
          <w:sz w:val="22"/>
        </w:rPr>
      </w:r>
    </w:p>
    <w:p>
      <w:pPr>
        <w:pStyle w:val="Heading2"/>
        <w:keepNext/>
        <w:widowControl/>
      </w:pPr>
      <w:r>
        <w:rPr>
          <w:rFonts w:ascii="Arial" w:hAnsi="Arial" w:eastAsia="Arial" w:cs="Arial"/>
          <w:sz w:val="24"/>
        </w:rPr>
        <w:t>7.1 Hot-cup cutaway: preservation and limits</w:t>
      </w:r>
    </w:p>
    <w:tbl>
      <w:tblPr>
        <w:tblW w:type="auto" w:w="0"/>
        <w:jc w:val="center"/>
        <w:tblLayout w:type="autofit"/>
        <w:tblLook w:firstColumn="1" w:firstRow="1" w:lastColumn="0" w:lastRow="0" w:noHBand="0" w:noVBand="1" w:val="04A0"/>
        <w:tblBorders>
          <w:top w:val="single" w:sz="4" w:color="7F7F7F"/>
          <w:left w:val="single" w:sz="4" w:color="7F7F7F"/>
          <w:bottom w:val="single" w:sz="4" w:color="7F7F7F"/>
          <w:right w:val="single" w:sz="4" w:color="7F7F7F"/>
          <w:insideH w:val="single" w:sz="4" w:color="7F7F7F"/>
          <w:insideV w:val="single" w:sz="4" w:color="7F7F7F"/>
        </w:tblBorders>
      </w:tblPr>
      <w:tblGrid>
        <w:gridCol w:w="3636"/>
        <w:gridCol w:w="3636"/>
        <w:gridCol w:w="3636"/>
        <w:gridCol w:w="3636"/>
      </w:tblGrid>
      <w:tr>
        <w:trPr>
          <w:tblHeader w:val="1"/>
        </w:trPr>
        <w:tc>
          <w:tcPr>
            <w:tcW w:type="dxa" w:w="2376"/>
            <w:vAlign w:val="top"/>
            <w:shd w:fill="D9EAF7" w:val="clear"/>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before="0" w:line="240" w:lineRule="auto"/>
            </w:pPr>
            <w:r>
              <w:rPr>
                <w:rFonts w:ascii="Arial" w:hAnsi="Arial" w:eastAsia="Arial" w:cs="Arial"/>
                <w:sz w:val="20"/>
                <w:szCs w:val="20"/>
                <w:b/>
              </w:rPr>
              <w:t>Case / relation</w:t>
            </w:r>
          </w:p>
        </w:tc>
        <w:tc>
          <w:tcPr>
            <w:tcW w:type="dxa" w:w="3240"/>
            <w:vAlign w:val="top"/>
            <w:shd w:fill="D9EAF7" w:val="clear"/>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before="0" w:line="240" w:lineRule="auto"/>
            </w:pPr>
            <w:r>
              <w:rPr>
                <w:rFonts w:ascii="Arial" w:hAnsi="Arial" w:eastAsia="Arial" w:cs="Arial"/>
                <w:sz w:val="20"/>
                <w:szCs w:val="20"/>
                <w:b/>
              </w:rPr>
              <w:t>Controlled compression</w:t>
            </w:r>
          </w:p>
        </w:tc>
        <w:tc>
          <w:tcPr>
            <w:tcW w:type="dxa" w:w="4608"/>
            <w:vAlign w:val="top"/>
            <w:shd w:fill="D9EAF7" w:val="clear"/>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before="0" w:line="240" w:lineRule="auto"/>
            </w:pPr>
            <w:r>
              <w:rPr>
                <w:rFonts w:ascii="Arial" w:hAnsi="Arial" w:eastAsia="Arial" w:cs="Arial"/>
                <w:sz w:val="20"/>
                <w:szCs w:val="20"/>
                <w:b/>
              </w:rPr>
              <w:t>Source anchor</w:t>
            </w:r>
          </w:p>
        </w:tc>
        <w:tc>
          <w:tcPr>
            <w:tcW w:type="dxa" w:w="4176"/>
            <w:vAlign w:val="top"/>
            <w:shd w:fill="D9EAF7" w:val="clear"/>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before="0" w:line="240" w:lineRule="auto"/>
            </w:pPr>
            <w:r>
              <w:rPr>
                <w:rFonts w:ascii="Arial" w:hAnsi="Arial" w:eastAsia="Arial" w:cs="Arial"/>
                <w:sz w:val="20"/>
                <w:szCs w:val="20"/>
                <w:b/>
              </w:rPr>
              <w:t>Limit</w:t>
            </w:r>
          </w:p>
        </w:tc>
      </w:tr>
      <w:tr>
        <w:trPr/>
        <w:tc>
          <w:tcPr>
            <w:tcW w:type="dxa" w:w="2376"/>
            <w:vAlign w:val="top"/>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before="0" w:line="240" w:lineRule="auto"/>
            </w:pPr>
            <w:r>
              <w:rPr>
                <w:b w:val="0"/>
                <w:rFonts w:ascii="Arial" w:hAnsi="Arial" w:eastAsia="Arial" w:cs="Arial"/>
                <w:sz w:val="20"/>
                <w:szCs w:val="20"/>
              </w:rPr>
              <w:t>Cup-base geometry</w:t>
            </w:r>
          </w:p>
        </w:tc>
        <w:tc>
          <w:tcPr>
            <w:tcW w:type="dxa" w:w="3240"/>
            <w:vAlign w:val="top"/>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before="0" w:line="240" w:lineRule="auto"/>
            </w:pPr>
            <w:r>
              <w:rPr>
                <w:b w:val="0"/>
                <w:rFonts w:ascii="Arial" w:hAnsi="Arial" w:eastAsia="Arial" w:cs="Arial"/>
                <w:sz w:val="20"/>
                <w:szCs w:val="20"/>
              </w:rPr>
              <w:t>Contact geometry can constrain the retained footprint or ring through changing carriers.</w:t>
            </w:r>
          </w:p>
        </w:tc>
        <w:tc>
          <w:tcPr>
            <w:tcW w:type="dxa" w:w="4608"/>
            <w:vAlign w:val="top"/>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before="0" w:line="240" w:lineRule="auto"/>
            </w:pPr>
            <w:r>
              <w:rPr>
                <w:b w:val="0"/>
                <w:rFonts w:ascii="Arial" w:hAnsi="Arial" w:eastAsia="Arial" w:cs="Arial"/>
                <w:sz w:val="20"/>
                <w:szCs w:val="20"/>
              </w:rPr>
              <w:t>Paper 1c, heading 6</w:t>
            </w:r>
          </w:p>
        </w:tc>
        <w:tc>
          <w:tcPr>
            <w:tcW w:type="dxa" w:w="4176"/>
            <w:vAlign w:val="top"/>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before="0" w:line="240" w:lineRule="auto"/>
            </w:pPr>
            <w:r>
              <w:rPr>
                <w:b w:val="0"/>
                <w:rFonts w:ascii="Arial" w:hAnsi="Arial" w:eastAsia="Arial" w:cs="Arial"/>
                <w:sz w:val="20"/>
                <w:szCs w:val="20"/>
              </w:rPr>
              <w:t>The target and its total history are not transferred into the table.</w:t>
            </w:r>
          </w:p>
        </w:tc>
      </w:tr>
      <w:tr>
        <w:trPr/>
        <w:tc>
          <w:tcPr>
            <w:tcW w:type="dxa" w:w="2376"/>
            <w:vAlign w:val="top"/>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before="0" w:line="240" w:lineRule="auto"/>
            </w:pPr>
            <w:r>
              <w:rPr>
                <w:b w:val="0"/>
                <w:rFonts w:ascii="Arial" w:hAnsi="Arial" w:eastAsia="Arial" w:cs="Arial"/>
                <w:sz w:val="20"/>
                <w:szCs w:val="20"/>
              </w:rPr>
              <w:t>Kettle brand</w:t>
            </w:r>
          </w:p>
        </w:tc>
        <w:tc>
          <w:tcPr>
            <w:tcW w:type="dxa" w:w="3240"/>
            <w:vAlign w:val="top"/>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before="0" w:line="240" w:lineRule="auto"/>
            </w:pPr>
            <w:r>
              <w:rPr>
                <w:b w:val="0"/>
                <w:rFonts w:ascii="Arial" w:hAnsi="Arial" w:eastAsia="Arial" w:cs="Arial"/>
                <w:sz w:val="20"/>
                <w:szCs w:val="20"/>
              </w:rPr>
              <w:t>The brand may belong to causal provenance while its distinguishing contrast is lost before the ring forms.</w:t>
            </w:r>
          </w:p>
        </w:tc>
        <w:tc>
          <w:tcPr>
            <w:tcW w:type="dxa" w:w="4608"/>
            <w:vAlign w:val="top"/>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before="0" w:line="240" w:lineRule="auto"/>
            </w:pPr>
            <w:r>
              <w:rPr>
                <w:b w:val="0"/>
                <w:rFonts w:ascii="Arial" w:hAnsi="Arial" w:eastAsia="Arial" w:cs="Arial"/>
                <w:sz w:val="20"/>
                <w:szCs w:val="20"/>
              </w:rPr>
              <w:t>Paper 1c, heading 6</w:t>
            </w:r>
          </w:p>
        </w:tc>
        <w:tc>
          <w:tcPr>
            <w:tcW w:type="dxa" w:w="4176"/>
            <w:vAlign w:val="top"/>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before="0" w:line="240" w:lineRule="auto"/>
            </w:pPr>
            <w:r>
              <w:rPr>
                <w:b w:val="0"/>
                <w:rFonts w:ascii="Arial" w:hAnsi="Arial" w:eastAsia="Arial" w:cs="Arial"/>
                <w:sz w:val="20"/>
                <w:szCs w:val="20"/>
              </w:rPr>
              <w:t>Provenance alone does not recover a distinction absent from the retained path.</w:t>
            </w:r>
          </w:p>
        </w:tc>
      </w:tr>
      <w:tr>
        <w:trPr/>
        <w:tc>
          <w:tcPr>
            <w:tcW w:type="dxa" w:w="2376"/>
            <w:vAlign w:val="top"/>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before="0" w:line="240" w:lineRule="auto"/>
            </w:pPr>
            <w:r>
              <w:rPr>
                <w:b w:val="0"/>
                <w:rFonts w:ascii="Arial" w:hAnsi="Arial" w:eastAsia="Arial" w:cs="Arial"/>
                <w:sz w:val="20"/>
                <w:szCs w:val="20"/>
              </w:rPr>
              <w:t>Sock colour</w:t>
            </w:r>
          </w:p>
        </w:tc>
        <w:tc>
          <w:tcPr>
            <w:tcW w:type="dxa" w:w="3240"/>
            <w:vAlign w:val="top"/>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before="0" w:line="240" w:lineRule="auto"/>
            </w:pPr>
            <w:r>
              <w:rPr>
                <w:b w:val="0"/>
                <w:rFonts w:ascii="Arial" w:hAnsi="Arial" w:eastAsia="Arial" w:cs="Arial"/>
                <w:sz w:val="20"/>
                <w:szCs w:val="20"/>
              </w:rPr>
              <w:t>Where it never modulates the traced pathway, the distinction never entered that pathway.</w:t>
            </w:r>
          </w:p>
        </w:tc>
        <w:tc>
          <w:tcPr>
            <w:tcW w:type="dxa" w:w="4608"/>
            <w:vAlign w:val="top"/>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before="0" w:line="240" w:lineRule="auto"/>
            </w:pPr>
            <w:r>
              <w:rPr>
                <w:b w:val="0"/>
                <w:rFonts w:ascii="Arial" w:hAnsi="Arial" w:eastAsia="Arial" w:cs="Arial"/>
                <w:sz w:val="20"/>
                <w:szCs w:val="20"/>
              </w:rPr>
              <w:t>Paper 1c, heading 6</w:t>
            </w:r>
          </w:p>
        </w:tc>
        <w:tc>
          <w:tcPr>
            <w:tcW w:type="dxa" w:w="4176"/>
            <w:vAlign w:val="top"/>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before="0" w:line="240" w:lineRule="auto"/>
            </w:pPr>
            <w:r>
              <w:rPr>
                <w:b w:val="0"/>
                <w:rFonts w:ascii="Arial" w:hAnsi="Arial" w:eastAsia="Arial" w:cs="Arial"/>
                <w:sz w:val="20"/>
                <w:szCs w:val="20"/>
              </w:rPr>
              <w:t>Never-coupled difference is not the same failure as contrast lost in transformation.</w:t>
            </w:r>
          </w:p>
        </w:tc>
      </w:tr>
      <w:tr>
        <w:trPr/>
        <w:tc>
          <w:tcPr>
            <w:tcW w:type="dxa" w:w="2376"/>
            <w:vAlign w:val="top"/>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before="0" w:line="240" w:lineRule="auto"/>
            </w:pPr>
            <w:r>
              <w:rPr>
                <w:b w:val="0"/>
                <w:rFonts w:ascii="Arial" w:hAnsi="Arial" w:eastAsia="Arial" w:cs="Arial"/>
                <w:sz w:val="20"/>
                <w:szCs w:val="20"/>
              </w:rPr>
              <w:t>Table-local RAS</w:t>
            </w:r>
          </w:p>
        </w:tc>
        <w:tc>
          <w:tcPr>
            <w:tcW w:type="dxa" w:w="3240"/>
            <w:vAlign w:val="top"/>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before="0" w:line="240" w:lineRule="auto"/>
            </w:pPr>
            <w:r>
              <w:rPr>
                <w:b w:val="0"/>
                <w:rFonts w:ascii="Arial" w:hAnsi="Arial" w:eastAsia="Arial" w:cs="Arial"/>
                <w:sz w:val="20"/>
                <w:szCs w:val="20"/>
              </w:rPr>
              <w:t>A ring qualifies only where local OP, material OA, OR, reference scale, and retention horizon are established.</w:t>
            </w:r>
          </w:p>
        </w:tc>
        <w:tc>
          <w:tcPr>
            <w:tcW w:type="dxa" w:w="4608"/>
            <w:vAlign w:val="top"/>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before="0" w:line="240" w:lineRule="auto"/>
            </w:pPr>
            <w:r>
              <w:rPr>
                <w:b w:val="0"/>
                <w:rFonts w:ascii="Arial" w:hAnsi="Arial" w:eastAsia="Arial" w:cs="Arial"/>
                <w:sz w:val="20"/>
                <w:szCs w:val="20"/>
              </w:rPr>
              <w:t>Paper 1c, heading 6; Paper 1, headings 3.3-3.5</w:t>
            </w:r>
          </w:p>
        </w:tc>
        <w:tc>
          <w:tcPr>
            <w:tcW w:type="dxa" w:w="4176"/>
            <w:vAlign w:val="top"/>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before="0" w:line="240" w:lineRule="auto"/>
            </w:pPr>
            <w:r>
              <w:rPr>
                <w:b w:val="0"/>
                <w:rFonts w:ascii="Arial" w:hAnsi="Arial" w:eastAsia="Arial" w:cs="Arial"/>
                <w:sz w:val="20"/>
                <w:szCs w:val="20"/>
              </w:rPr>
              <w:t>A later interpreter does not confer an already earned RAS; mere persistence still does not suffice.</w:t>
            </w:r>
          </w:p>
        </w:tc>
      </w:tr>
      <w:tr>
        <w:trPr/>
        <w:tc>
          <w:tcPr>
            <w:tcW w:type="dxa" w:w="2376"/>
            <w:vAlign w:val="top"/>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before="0" w:line="240" w:lineRule="auto"/>
            </w:pPr>
            <w:r>
              <w:rPr>
                <w:b w:val="0"/>
                <w:rFonts w:ascii="Arial" w:hAnsi="Arial" w:eastAsia="Arial" w:cs="Arial"/>
                <w:sz w:val="20"/>
                <w:szCs w:val="20"/>
              </w:rPr>
              <w:t>Later receiving locus</w:t>
            </w:r>
          </w:p>
        </w:tc>
        <w:tc>
          <w:tcPr>
            <w:tcW w:type="dxa" w:w="3240"/>
            <w:vAlign w:val="top"/>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before="0" w:line="240" w:lineRule="auto"/>
            </w:pPr>
            <w:r>
              <w:rPr>
                <w:b w:val="0"/>
                <w:rFonts w:ascii="Arial" w:hAnsi="Arial" w:eastAsia="Arial" w:cs="Arial"/>
                <w:sz w:val="20"/>
                <w:szCs w:val="20"/>
              </w:rPr>
              <w:t>The retained table-state can become a new target; receiver organisation conditions which further relations can be stabilised.</w:t>
            </w:r>
          </w:p>
        </w:tc>
        <w:tc>
          <w:tcPr>
            <w:tcW w:type="dxa" w:w="4608"/>
            <w:vAlign w:val="top"/>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before="0" w:line="240" w:lineRule="auto"/>
            </w:pPr>
            <w:r>
              <w:rPr>
                <w:b w:val="0"/>
                <w:rFonts w:ascii="Arial" w:hAnsi="Arial" w:eastAsia="Arial" w:cs="Arial"/>
                <w:sz w:val="20"/>
                <w:szCs w:val="20"/>
              </w:rPr>
              <w:t>Paper 1c, heading 6</w:t>
            </w:r>
          </w:p>
        </w:tc>
        <w:tc>
          <w:tcPr>
            <w:tcW w:type="dxa" w:w="4176"/>
            <w:vAlign w:val="top"/>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before="0" w:line="240" w:lineRule="auto"/>
            </w:pPr>
            <w:r>
              <w:rPr>
                <w:b w:val="0"/>
                <w:rFonts w:ascii="Arial" w:hAnsi="Arial" w:eastAsia="Arial" w:cs="Arial"/>
                <w:sz w:val="20"/>
                <w:szCs w:val="20"/>
              </w:rPr>
              <w:t>Carrier registration is not automatic reconstruction of cup, person, kettle, or the whole event.</w:t>
            </w:r>
          </w:p>
        </w:tc>
      </w:tr>
      <w:tr>
        <w:trPr/>
        <w:tc>
          <w:tcPr>
            <w:tcW w:type="dxa" w:w="2376"/>
            <w:vAlign w:val="top"/>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before="0" w:line="240" w:lineRule="auto"/>
            </w:pPr>
            <w:r>
              <w:rPr>
                <w:b w:val="0"/>
                <w:rFonts w:ascii="Arial" w:hAnsi="Arial" w:eastAsia="Arial" w:cs="Arial"/>
                <w:sz w:val="20"/>
                <w:szCs w:val="20"/>
              </w:rPr>
              <w:t>Strong downstream claim</w:t>
            </w:r>
          </w:p>
        </w:tc>
        <w:tc>
          <w:tcPr>
            <w:tcW w:type="dxa" w:w="3240"/>
            <w:vAlign w:val="top"/>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before="0" w:line="240" w:lineRule="auto"/>
            </w:pPr>
            <w:r>
              <w:rPr>
                <w:b w:val="0"/>
                <w:rFonts w:ascii="Arial" w:hAnsi="Arial" w:eastAsia="Arial" w:cs="Arial"/>
                <w:sz w:val="20"/>
                <w:szCs w:val="20"/>
              </w:rPr>
              <w:t>NTC requires distinction-dependent redeployment and an appropriate IPL/BD comparator in the later organisation.</w:t>
            </w:r>
          </w:p>
        </w:tc>
        <w:tc>
          <w:tcPr>
            <w:tcW w:type="dxa" w:w="4608"/>
            <w:vAlign w:val="top"/>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before="0" w:line="240" w:lineRule="auto"/>
            </w:pPr>
            <w:r>
              <w:rPr>
                <w:b w:val="0"/>
                <w:rFonts w:ascii="Arial" w:hAnsi="Arial" w:eastAsia="Arial" w:cs="Arial"/>
                <w:sz w:val="20"/>
                <w:szCs w:val="20"/>
              </w:rPr>
              <w:t>Paper 1c, heading 6</w:t>
            </w:r>
          </w:p>
        </w:tc>
        <w:tc>
          <w:tcPr>
            <w:tcW w:type="dxa" w:w="4176"/>
            <w:vAlign w:val="top"/>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before="0" w:line="240" w:lineRule="auto"/>
            </w:pPr>
            <w:r>
              <w:rPr>
                <w:b w:val="0"/>
                <w:rFonts w:ascii="Arial" w:hAnsi="Arial" w:eastAsia="Arial" w:cs="Arial"/>
                <w:sz w:val="20"/>
                <w:szCs w:val="20"/>
              </w:rPr>
              <w:t>The table is not NTC merely because it carries a RAS.</w:t>
            </w:r>
          </w:p>
        </w:tc>
      </w:tr>
    </w:tbl>
    <w:p>
      <w:pPr>
        <w:keepNext/>
        <w:widowControl/>
        <w:spacing w:line="240" w:lineRule="auto" w:before="0" w:after="0"/>
      </w:pPr>
      <w:r>
        <w:rPr>
          <w:rFonts w:ascii="Arial" w:hAnsi="Arial" w:eastAsia="Arial" w:cs="Arial"/>
          <w:sz w:val="22"/>
        </w:rPr>
      </w:r>
    </w:p>
    <w:p>
      <w:pPr>
        <w:rPr>
          <w:rFonts w:ascii="Arial" w:hAnsi="Arial" w:eastAsia="Arial" w:cs="Arial"/>
          <w:sz w:val="30"/>
          <w:szCs w:val="30"/>
          <w:b w:val="1"/>
          <w:color w:val="1F4E79"/>
        </w:rPr>
        <w:pStyle w:val="Heading1"/>
        <w:widowControl/>
        <w:spacing w:before="80" w:after="40" w:line="240" w:lineRule="auto"/>
        <w:keepNext/>
        <w:keepLines/>
      </w:pPr>
      <w:r>
        <w:rPr>
          <w:rFonts w:ascii="Arial" w:hAnsi="Arial" w:eastAsia="Arial" w:cs="Arial"/>
          <w:sz w:val="30"/>
          <w:szCs w:val="30"/>
          <w:b w:val="1"/>
          <w:color w:val="1F4E79"/>
        </w:rPr>
        <w:t>8. Operational use sequence</w:t>
      </w:r>
    </w:p>
    <w:p>
      <w:pPr>
        <w:rPr>
          <w:rFonts w:ascii="Arial" w:hAnsi="Arial" w:eastAsia="Arial" w:cs="Arial"/>
          <w:sz w:val="22"/>
          <w:szCs w:val="22"/>
        </w:rPr>
        <w:widowControl/>
        <w:spacing w:after="40" w:before="0" w:line="240" w:lineRule="auto"/>
      </w:pPr>
      <w:r>
        <w:rPr>
          <w:rFonts w:ascii="Arial" w:hAnsi="Arial" w:eastAsia="Arial" w:cs="Arial"/>
          <w:sz w:val="22"/>
          <w:szCs w:val="22"/>
        </w:rPr>
        <w:t>Part 2a support use should begin with access architecture, not with later status words. The following sequence is a controlled application order for support documents, edge-case notes, and cross-Part handoff.</w:t>
      </w:r>
    </w:p>
    <w:tbl>
      <w:tblPr>
        <w:tblW w:type="auto" w:w="0"/>
        <w:jc w:val="center"/>
        <w:tblLayout w:type="autofit"/>
        <w:tblLook w:firstColumn="1" w:firstRow="1" w:lastColumn="0" w:lastRow="0" w:noHBand="0" w:noVBand="1" w:val="04A0"/>
        <w:tblBorders>
          <w:top w:val="single" w:sz="4" w:color="7F7F7F"/>
          <w:left w:val="single" w:sz="4" w:color="7F7F7F"/>
          <w:bottom w:val="single" w:sz="4" w:color="7F7F7F"/>
          <w:right w:val="single" w:sz="4" w:color="7F7F7F"/>
          <w:insideH w:val="single" w:sz="4" w:color="7F7F7F"/>
          <w:insideV w:val="single" w:sz="4" w:color="7F7F7F"/>
        </w:tblBorders>
      </w:tblPr>
      <w:tblGrid>
        <w:gridCol w:w="4848"/>
        <w:gridCol w:w="4848"/>
        <w:gridCol w:w="4848"/>
      </w:tblGrid>
      <w:tr>
        <w:trPr>
          <w:tblHeader w:val="1"/>
        </w:trPr>
        <w:tc>
          <w:tcPr>
            <w:tcW w:type="dxa" w:w="3168"/>
            <w:vAlign w:val="top"/>
            <w:shd w:fill="D9EAF7" w:val="clear"/>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before="0" w:line="240" w:lineRule="auto"/>
            </w:pPr>
            <w:r>
              <w:rPr>
                <w:rFonts w:ascii="Arial" w:hAnsi="Arial" w:eastAsia="Arial" w:cs="Arial"/>
                <w:sz w:val="20"/>
                <w:szCs w:val="20"/>
                <w:b/>
              </w:rPr>
              <w:t>Stage</w:t>
            </w:r>
          </w:p>
        </w:tc>
        <w:tc>
          <w:tcPr>
            <w:tcW w:type="dxa" w:w="7488"/>
            <w:vAlign w:val="top"/>
            <w:shd w:fill="D9EAF7" w:val="clear"/>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before="0" w:line="240" w:lineRule="auto"/>
            </w:pPr>
            <w:r>
              <w:rPr>
                <w:rFonts w:ascii="Arial" w:hAnsi="Arial" w:eastAsia="Arial" w:cs="Arial"/>
                <w:sz w:val="20"/>
                <w:szCs w:val="20"/>
                <w:b/>
              </w:rPr>
              <w:t>Instruction</w:t>
            </w:r>
          </w:p>
        </w:tc>
        <w:tc>
          <w:tcPr>
            <w:tcW w:type="dxa" w:w="3744"/>
            <w:vAlign w:val="top"/>
            <w:shd w:fill="D9EAF7" w:val="clear"/>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before="0" w:line="240" w:lineRule="auto"/>
            </w:pPr>
            <w:r>
              <w:rPr>
                <w:rFonts w:ascii="Arial" w:hAnsi="Arial" w:eastAsia="Arial" w:cs="Arial"/>
                <w:sz w:val="20"/>
                <w:szCs w:val="20"/>
                <w:b/>
              </w:rPr>
              <w:t>Guardrail</w:t>
            </w:r>
          </w:p>
        </w:tc>
      </w:tr>
      <w:tr>
        <w:trPr/>
        <w:tc>
          <w:tcPr>
            <w:tcW w:type="dxa" w:w="3168"/>
            <w:vAlign w:val="top"/>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before="0" w:line="240" w:lineRule="auto"/>
            </w:pPr>
            <w:r>
              <w:rPr>
                <w:b w:val="0"/>
                <w:rFonts w:ascii="Arial" w:hAnsi="Arial" w:eastAsia="Arial" w:cs="Arial"/>
                <w:sz w:val="20"/>
                <w:szCs w:val="20"/>
              </w:rPr>
              <w:t>Stage 0 - Scope and source lock</w:t>
            </w:r>
          </w:p>
        </w:tc>
        <w:tc>
          <w:tcPr>
            <w:tcW w:type="dxa" w:w="7488"/>
            <w:vAlign w:val="top"/>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before="0" w:line="240" w:lineRule="auto"/>
            </w:pPr>
            <w:r>
              <w:rPr>
                <w:b w:val="0"/>
                <w:rFonts w:ascii="Arial" w:hAnsi="Arial" w:eastAsia="Arial" w:cs="Arial"/>
                <w:sz w:val="20"/>
                <w:szCs w:val="20"/>
              </w:rPr>
              <w:t>Confirm a Part 2a claim: RRP-indexed information, signal, reference-indexed realism, relational index, embodiment, derived reachability, Relational Form, propagation, or a stated Part 2b handoff.</w:t>
            </w:r>
          </w:p>
        </w:tc>
        <w:tc>
          <w:tcPr>
            <w:tcW w:type="dxa" w:w="3744"/>
            <w:vAlign w:val="top"/>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before="0" w:line="240" w:lineRule="auto"/>
            </w:pPr>
            <w:r>
              <w:rPr>
                <w:b w:val="0"/>
                <w:rFonts w:ascii="Arial" w:hAnsi="Arial" w:eastAsia="Arial" w:cs="Arial"/>
                <w:sz w:val="20"/>
                <w:szCs w:val="20"/>
              </w:rPr>
              <w:t>Do not import Part 2b status ladders as definitions, and do not treat the RRP definition as revoking other legitimate information regimes.</w:t>
            </w:r>
          </w:p>
        </w:tc>
      </w:tr>
      <w:tr>
        <w:trPr/>
        <w:tc>
          <w:tcPr>
            <w:tcW w:type="dxa" w:w="3168"/>
            <w:vAlign w:val="top"/>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before="0" w:line="240" w:lineRule="auto"/>
            </w:pPr>
            <w:r>
              <w:rPr>
                <w:b w:val="0"/>
                <w:rFonts w:ascii="Arial" w:hAnsi="Arial" w:eastAsia="Arial" w:cs="Arial"/>
                <w:sz w:val="20"/>
                <w:szCs w:val="20"/>
              </w:rPr>
              <w:t>Stage 1 - Candidate difference / target relation</w:t>
            </w:r>
          </w:p>
        </w:tc>
        <w:tc>
          <w:tcPr>
            <w:tcW w:type="dxa" w:w="7488"/>
            <w:vAlign w:val="top"/>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before="0" w:line="240" w:lineRule="auto"/>
            </w:pPr>
            <w:r>
              <w:rPr>
                <w:b w:val="0"/>
                <w:rFonts w:ascii="Arial" w:hAnsi="Arial" w:eastAsia="Arial" w:cs="Arial"/>
                <w:sz w:val="20"/>
                <w:szCs w:val="20"/>
              </w:rPr>
              <w:t>State the physical difference, relation, pattern, event, model-target, or reality-claim under evaluation.</w:t>
            </w:r>
          </w:p>
        </w:tc>
        <w:tc>
          <w:tcPr>
            <w:tcW w:type="dxa" w:w="3744"/>
            <w:vAlign w:val="top"/>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before="0" w:line="240" w:lineRule="auto"/>
            </w:pPr>
            <w:r>
              <w:rPr>
                <w:b w:val="0"/>
                <w:rFonts w:ascii="Arial" w:hAnsi="Arial" w:eastAsia="Arial" w:cs="Arial"/>
                <w:sz w:val="20"/>
                <w:szCs w:val="20"/>
              </w:rPr>
              <w:t>Do not begin with RRP-indexed information unless the evaluated access relation is specified.</w:t>
            </w:r>
          </w:p>
        </w:tc>
      </w:tr>
      <w:tr>
        <w:trPr/>
        <w:tc>
          <w:tcPr>
            <w:tcW w:type="dxa" w:w="3168"/>
            <w:vAlign w:val="top"/>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before="0" w:line="240" w:lineRule="auto"/>
            </w:pPr>
            <w:r>
              <w:rPr>
                <w:b w:val="0"/>
                <w:rFonts w:ascii="Arial" w:hAnsi="Arial" w:eastAsia="Arial" w:cs="Arial"/>
                <w:sz w:val="20"/>
                <w:szCs w:val="20"/>
              </w:rPr>
              <w:t>Stage 2 - Locus-interface-regime</w:t>
            </w:r>
          </w:p>
        </w:tc>
        <w:tc>
          <w:tcPr>
            <w:tcW w:type="dxa" w:w="7488"/>
            <w:vAlign w:val="top"/>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before="0" w:line="240" w:lineRule="auto"/>
            </w:pPr>
            <w:r>
              <w:rPr>
                <w:b w:val="0"/>
                <w:rFonts w:ascii="Arial" w:hAnsi="Arial" w:eastAsia="Arial" w:cs="Arial"/>
                <w:sz w:val="20"/>
                <w:szCs w:val="20"/>
              </w:rPr>
              <w:t>Specify the locus, interface, boundary, scale, operational horizon, discrimination/noise regime, abstraction assumptions, and relevant comparator assumptions.</w:t>
            </w:r>
          </w:p>
        </w:tc>
        <w:tc>
          <w:tcPr>
            <w:tcW w:type="dxa" w:w="3744"/>
            <w:vAlign w:val="top"/>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before="0" w:line="240" w:lineRule="auto"/>
            </w:pPr>
            <w:r>
              <w:rPr>
                <w:b w:val="0"/>
                <w:rFonts w:ascii="Arial" w:hAnsi="Arial" w:eastAsia="Arial" w:cs="Arial"/>
                <w:sz w:val="20"/>
                <w:szCs w:val="20"/>
              </w:rPr>
              <w:t>Do not let the first named object become the locus by default.</w:t>
            </w:r>
          </w:p>
        </w:tc>
      </w:tr>
      <w:tr>
        <w:trPr/>
        <w:tc>
          <w:tcPr>
            <w:tcW w:type="dxa" w:w="3168"/>
            <w:vAlign w:val="top"/>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before="0" w:line="240" w:lineRule="auto"/>
            </w:pPr>
            <w:r>
              <w:rPr>
                <w:b w:val="0"/>
                <w:rFonts w:ascii="Arial" w:hAnsi="Arial" w:eastAsia="Arial" w:cs="Arial"/>
                <w:sz w:val="20"/>
                <w:szCs w:val="20"/>
              </w:rPr>
              <w:t>Stage 3 - Physical pathway</w:t>
            </w:r>
          </w:p>
        </w:tc>
        <w:tc>
          <w:tcPr>
            <w:tcW w:type="dxa" w:w="7488"/>
            <w:vAlign w:val="top"/>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before="0" w:line="240" w:lineRule="auto"/>
            </w:pPr>
            <w:r>
              <w:rPr>
                <w:b w:val="0"/>
                <w:rFonts w:ascii="Arial" w:hAnsi="Arial" w:eastAsia="Arial" w:cs="Arial"/>
                <w:sz w:val="20"/>
                <w:szCs w:val="20"/>
              </w:rPr>
              <w:t>Identify interaction, variation, any persistence, propagation, or residue as physical properties, preserved contrast, signal-bearing contrast, medium, channel, noise, threshold, and possible discriminability.</w:t>
            </w:r>
          </w:p>
        </w:tc>
        <w:tc>
          <w:tcPr>
            <w:tcW w:type="dxa" w:w="3744"/>
            <w:vAlign w:val="top"/>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before="0" w:line="240" w:lineRule="auto"/>
            </w:pPr>
            <w:r>
              <w:rPr>
                <w:b w:val="0"/>
                <w:rFonts w:ascii="Arial" w:hAnsi="Arial" w:eastAsia="Arial" w:cs="Arial"/>
                <w:sz w:val="20"/>
                <w:szCs w:val="20"/>
              </w:rPr>
              <w:t>Do not skip from substrate difference to OP or turn physical properties into independent informational stages.</w:t>
            </w:r>
          </w:p>
        </w:tc>
      </w:tr>
      <w:tr>
        <w:trPr/>
        <w:tc>
          <w:tcPr>
            <w:tcW w:type="dxa" w:w="3168"/>
            <w:vAlign w:val="top"/>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before="0" w:line="240" w:lineRule="auto"/>
            </w:pPr>
            <w:r>
              <w:rPr>
                <w:b w:val="0"/>
                <w:rFonts w:ascii="Arial" w:hAnsi="Arial" w:eastAsia="Arial" w:cs="Arial"/>
                <w:sz w:val="20"/>
                <w:szCs w:val="20"/>
              </w:rPr>
              <w:t>Stage 4 - RRP Set status</w:t>
            </w:r>
          </w:p>
        </w:tc>
        <w:tc>
          <w:tcPr>
            <w:tcW w:type="dxa" w:w="7488"/>
            <w:vAlign w:val="top"/>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before="0" w:line="240" w:lineRule="auto"/>
            </w:pPr>
            <w:r>
              <w:rPr>
                <w:b w:val="0"/>
                <w:rFonts w:ascii="Arial" w:hAnsi="Arial" w:eastAsia="Arial" w:cs="Arial"/>
                <w:sz w:val="20"/>
                <w:szCs w:val="20"/>
              </w:rPr>
              <w:t>Assign the strongest warranted RRP Set status: below OP, OP, OA-classed alternative, OR, RAS, or RSD.</w:t>
            </w:r>
          </w:p>
        </w:tc>
        <w:tc>
          <w:tcPr>
            <w:tcW w:type="dxa" w:w="3744"/>
            <w:vAlign w:val="top"/>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before="0" w:line="240" w:lineRule="auto"/>
            </w:pPr>
            <w:r>
              <w:rPr>
                <w:b w:val="0"/>
                <w:rFonts w:ascii="Arial" w:hAnsi="Arial" w:eastAsia="Arial" w:cs="Arial"/>
                <w:sz w:val="20"/>
                <w:szCs w:val="20"/>
              </w:rPr>
              <w:t>Do not collapse OP, OA, OR, RAS, and RSD into one information label.</w:t>
            </w:r>
          </w:p>
        </w:tc>
      </w:tr>
      <w:tr>
        <w:trPr/>
        <w:tc>
          <w:tcPr>
            <w:tcW w:type="dxa" w:w="3168"/>
            <w:vAlign w:val="top"/>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before="0" w:line="240" w:lineRule="auto"/>
            </w:pPr>
            <w:r>
              <w:rPr>
                <w:b w:val="0"/>
                <w:rFonts w:ascii="Arial" w:hAnsi="Arial" w:eastAsia="Arial" w:cs="Arial"/>
                <w:sz w:val="20"/>
                <w:szCs w:val="20"/>
              </w:rPr>
              <w:t>Stage 5 - Ingress and formation checks</w:t>
            </w:r>
          </w:p>
        </w:tc>
        <w:tc>
          <w:tcPr>
            <w:tcW w:type="dxa" w:w="7488"/>
            <w:vAlign w:val="top"/>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before="0" w:line="240" w:lineRule="auto"/>
            </w:pPr>
            <w:r>
              <w:rPr>
                <w:b w:val="0"/>
                <w:rFonts w:ascii="Arial" w:hAnsi="Arial" w:eastAsia="Arial" w:cs="Arial"/>
                <w:sz w:val="20"/>
                <w:szCs w:val="20"/>
              </w:rPr>
              <w:t>State the Locus Event Horizon for incoming contrast. Separately state whether the particular target relation is immediately reachable, constructibly reachable through a physically supported scaffold, or not established under the present regime.</w:t>
            </w:r>
          </w:p>
        </w:tc>
        <w:tc>
          <w:tcPr>
            <w:tcW w:type="dxa" w:w="3744"/>
            <w:vAlign w:val="top"/>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before="0" w:line="240" w:lineRule="auto"/>
            </w:pPr>
            <w:r>
              <w:rPr>
                <w:b w:val="0"/>
                <w:rFonts w:ascii="Arial" w:hAnsi="Arial" w:eastAsia="Arial" w:cs="Arial"/>
                <w:sz w:val="20"/>
                <w:szCs w:val="20"/>
              </w:rPr>
              <w:t>Do not equate access to the carrier with formation of every relation to its target; do not equate present unreachability with unreality or permanent impossibility.</w:t>
            </w:r>
          </w:p>
        </w:tc>
      </w:tr>
      <w:tr>
        <w:trPr/>
        <w:tc>
          <w:tcPr>
            <w:tcW w:type="dxa" w:w="3168"/>
            <w:vAlign w:val="top"/>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before="0" w:line="240" w:lineRule="auto"/>
            </w:pPr>
            <w:r>
              <w:rPr>
                <w:b w:val="0"/>
                <w:rFonts w:ascii="Arial" w:hAnsi="Arial" w:eastAsia="Arial" w:cs="Arial"/>
                <w:sz w:val="20"/>
                <w:szCs w:val="20"/>
              </w:rPr>
              <w:t>Stage 6 - Realism indexing</w:t>
            </w:r>
          </w:p>
        </w:tc>
        <w:tc>
          <w:tcPr>
            <w:tcW w:type="dxa" w:w="7488"/>
            <w:vAlign w:val="top"/>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before="0" w:line="240" w:lineRule="auto"/>
            </w:pPr>
            <w:r>
              <w:rPr>
                <w:b w:val="0"/>
                <w:rFonts w:ascii="Arial" w:hAnsi="Arial" w:eastAsia="Arial" w:cs="Arial"/>
                <w:sz w:val="20"/>
                <w:szCs w:val="20"/>
              </w:rPr>
              <w:t>State target, local access scaffold, finite model/record/claim, comparator pressure, and residual. Where relevant, distinguish the wider relational index, distributed Form, and locus-specific reachability from that finite model.</w:t>
            </w:r>
          </w:p>
        </w:tc>
        <w:tc>
          <w:tcPr>
            <w:tcW w:type="dxa" w:w="3744"/>
            <w:vAlign w:val="top"/>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before="0" w:line="240" w:lineRule="auto"/>
            </w:pPr>
            <w:r>
              <w:rPr>
                <w:b w:val="0"/>
                <w:rFonts w:ascii="Arial" w:hAnsi="Arial" w:eastAsia="Arial" w:cs="Arial"/>
                <w:sz w:val="20"/>
                <w:szCs w:val="20"/>
              </w:rPr>
              <w:t>Do not mistake model adequacy for target possession.</w:t>
            </w:r>
          </w:p>
        </w:tc>
      </w:tr>
      <w:tr>
        <w:trPr/>
        <w:tc>
          <w:tcPr>
            <w:tcW w:type="dxa" w:w="3168"/>
            <w:vAlign w:val="top"/>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before="0" w:line="240" w:lineRule="auto"/>
            </w:pPr>
            <w:r>
              <w:rPr>
                <w:b w:val="0"/>
                <w:rFonts w:ascii="Arial" w:hAnsi="Arial" w:eastAsia="Arial" w:cs="Arial"/>
                <w:sz w:val="20"/>
                <w:szCs w:val="20"/>
              </w:rPr>
              <w:t>Stage 7 - Handoff decision</w:t>
            </w:r>
          </w:p>
        </w:tc>
        <w:tc>
          <w:tcPr>
            <w:tcW w:type="dxa" w:w="7488"/>
            <w:vAlign w:val="top"/>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before="0" w:line="240" w:lineRule="auto"/>
            </w:pPr>
            <w:r>
              <w:rPr>
                <w:b w:val="0"/>
                <w:rFonts w:ascii="Arial" w:hAnsi="Arial" w:eastAsia="Arial" w:cs="Arial"/>
                <w:sz w:val="20"/>
                <w:szCs w:val="20"/>
              </w:rPr>
              <w:t>Hand off knowledge, intelligence, and technical observation status to Part 2b. Preserve Paper 1b broad bounded-registration bridge and Paper 1c physical grounding without assigning the later ladders. Paper 4a owns the detailed observation-specific cut/perspective account, Paper 4b scalar measurement, and Paper 4c program performance.</w:t>
            </w:r>
          </w:p>
        </w:tc>
        <w:tc>
          <w:tcPr>
            <w:tcW w:type="dxa" w:w="3744"/>
            <w:vAlign w:val="top"/>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before="0" w:line="240" w:lineRule="auto"/>
            </w:pPr>
            <w:r>
              <w:rPr>
                <w:b w:val="0"/>
                <w:rFonts w:ascii="Arial" w:hAnsi="Arial" w:eastAsia="Arial" w:cs="Arial"/>
                <w:sz w:val="20"/>
                <w:szCs w:val="20"/>
              </w:rPr>
              <w:t>Do not define Part 2b status ladders, later abstraction, scale, or envelope architecture inside Part 2a support.</w:t>
            </w:r>
          </w:p>
        </w:tc>
      </w:tr>
    </w:tbl>
    <w:p>
      <w:pPr>
        <w:rPr>
          <w:rFonts w:ascii="Arial" w:hAnsi="Arial" w:eastAsia="Arial" w:cs="Arial"/>
          <w:sz w:val="22"/>
          <w:szCs w:val="22"/>
        </w:rPr>
        <w:widowControl/>
        <w:spacing w:before="0" w:after="0" w:line="240" w:lineRule="auto"/>
        <w:keepNext/>
      </w:pPr>
      <w:r>
        <w:rPr>
          <w:rFonts w:ascii="Arial" w:hAnsi="Arial" w:eastAsia="Arial" w:cs="Arial"/>
          <w:sz w:val="22"/>
        </w:rPr>
      </w:r>
    </w:p>
    <w:p>
      <w:pPr>
        <w:rPr>
          <w:rFonts w:ascii="Arial" w:hAnsi="Arial" w:eastAsia="Arial" w:cs="Arial"/>
          <w:sz w:val="22"/>
          <w:szCs w:val="22"/>
        </w:rPr>
        <w:widowControl/>
        <w:spacing w:after="40" w:before="0" w:line="240" w:lineRule="auto"/>
      </w:pPr>
      <w:r>
        <w:rPr>
          <w:b/>
          <w:rFonts w:ascii="Arial" w:hAnsi="Arial" w:eastAsia="Arial" w:cs="Arial"/>
          <w:sz w:val="22"/>
          <w:szCs w:val="22"/>
        </w:rPr>
        <w:t>Controlled Part 2a output grammar:</w:t>
      </w:r>
    </w:p>
    <w:p>
      <w:pPr>
        <w:rPr>
          <w:rFonts w:ascii="Arial" w:hAnsi="Arial" w:eastAsia="Arial" w:cs="Arial"/>
          <w:sz w:val="22"/>
          <w:szCs w:val="22"/>
        </w:rPr>
        <w:widowControl/>
        <w:spacing w:after="40" w:before="0" w:line="240" w:lineRule="auto"/>
      </w:pPr>
      <w:r>
        <w:rPr>
          <w:rFonts w:ascii="Arial" w:hAnsi="Arial" w:eastAsia="Arial" w:cs="Arial"/>
          <w:sz w:val="22"/>
          <w:szCs w:val="22"/>
        </w:rPr>
        <w:t>Under [specified RRP], [target difference or relation] is / is not RRP-indexed operational information for [specified locus] because [availability/classing/registration/retention/redeployment status]. Its physical pathway is [interaction -&gt; variation -&gt; preserved contrast / signal-bearing contrast -&gt; channel-relative discriminability], bounded by [horizon/noise/scale/medium/interface conditions]. The realism claim is a [model/record/claim] of [ontological target] with residual [specified remainder or update condition]. Where relevant, add: [OA-keyed retention] is physically embodied; [specified relation] is [immediately reachable / constructibly reachable / not established] under [organisation and scaffold]; [target-tracking continuity] belongs to a wider Form, without implying complete possession, semantic identity, or downstream status.</w:t>
      </w:r>
    </w:p>
    <w:p>
      <w:pPr>
        <w:rPr>
          <w:rFonts w:ascii="Arial" w:hAnsi="Arial" w:eastAsia="Arial" w:cs="Arial"/>
          <w:sz w:val="30"/>
          <w:szCs w:val="30"/>
          <w:b w:val="1"/>
          <w:color w:val="1F4E79"/>
        </w:rPr>
        <w:pStyle w:val="Heading1"/>
        <w:widowControl/>
        <w:spacing w:before="80" w:after="40" w:line="240" w:lineRule="auto"/>
        <w:keepNext/>
        <w:keepLines/>
      </w:pPr>
      <w:r>
        <w:rPr>
          <w:rFonts w:ascii="Arial" w:hAnsi="Arial" w:eastAsia="Arial" w:cs="Arial"/>
          <w:sz w:val="30"/>
          <w:szCs w:val="30"/>
          <w:b w:val="1"/>
          <w:color w:val="1F4E79"/>
        </w:rPr>
        <w:t>9. Control interfaces</w:t>
      </w:r>
    </w:p>
    <w:tbl>
      <w:tblPr>
        <w:tblW w:type="auto" w:w="0"/>
        <w:jc w:val="center"/>
        <w:tblLayout w:type="autofit"/>
        <w:tblLook w:firstColumn="1" w:firstRow="1" w:lastColumn="0" w:lastRow="0" w:noHBand="0" w:noVBand="1" w:val="04A0"/>
        <w:tblBorders>
          <w:top w:val="single" w:sz="4" w:color="7F7F7F"/>
          <w:left w:val="single" w:sz="4" w:color="7F7F7F"/>
          <w:bottom w:val="single" w:sz="4" w:color="7F7F7F"/>
          <w:right w:val="single" w:sz="4" w:color="7F7F7F"/>
          <w:insideH w:val="single" w:sz="4" w:color="7F7F7F"/>
          <w:insideV w:val="single" w:sz="4" w:color="7F7F7F"/>
        </w:tblBorders>
      </w:tblPr>
      <w:tblGrid>
        <w:gridCol w:w="4848"/>
        <w:gridCol w:w="4848"/>
        <w:gridCol w:w="4848"/>
      </w:tblGrid>
      <w:tr>
        <w:trPr>
          <w:tblHeader w:val="1"/>
        </w:trPr>
        <w:tc>
          <w:tcPr>
            <w:tcW w:type="dxa" w:w="2880"/>
            <w:vAlign w:val="top"/>
            <w:shd w:fill="D9EAF7" w:val="clear"/>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before="0" w:line="240" w:lineRule="auto"/>
            </w:pPr>
            <w:r>
              <w:rPr>
                <w:rFonts w:ascii="Arial" w:hAnsi="Arial" w:eastAsia="Arial" w:cs="Arial"/>
                <w:sz w:val="20"/>
                <w:szCs w:val="20"/>
                <w:b/>
              </w:rPr>
              <w:t>Control interface</w:t>
            </w:r>
          </w:p>
        </w:tc>
        <w:tc>
          <w:tcPr>
            <w:tcW w:type="dxa" w:w="7488"/>
            <w:vAlign w:val="top"/>
            <w:shd w:fill="D9EAF7" w:val="clear"/>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before="0" w:line="240" w:lineRule="auto"/>
            </w:pPr>
            <w:r>
              <w:rPr>
                <w:rFonts w:ascii="Arial" w:hAnsi="Arial" w:eastAsia="Arial" w:cs="Arial"/>
                <w:sz w:val="20"/>
                <w:szCs w:val="20"/>
                <w:b/>
              </w:rPr>
              <w:t>Permitted relation</w:t>
            </w:r>
          </w:p>
        </w:tc>
        <w:tc>
          <w:tcPr>
            <w:tcW w:type="dxa" w:w="4032"/>
            <w:vAlign w:val="top"/>
            <w:shd w:fill="D9EAF7" w:val="clear"/>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before="0" w:line="240" w:lineRule="auto"/>
            </w:pPr>
            <w:r>
              <w:rPr>
                <w:rFonts w:ascii="Arial" w:hAnsi="Arial" w:eastAsia="Arial" w:cs="Arial"/>
                <w:sz w:val="20"/>
                <w:szCs w:val="20"/>
                <w:b/>
              </w:rPr>
              <w:t>Guardrail</w:t>
            </w:r>
          </w:p>
        </w:tc>
      </w:tr>
      <w:tr>
        <w:trPr/>
        <w:tc>
          <w:tcPr>
            <w:tcW w:type="dxa" w:w="2880"/>
            <w:vAlign w:val="top"/>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before="0" w:line="240" w:lineRule="auto"/>
            </w:pPr>
            <w:r>
              <w:rPr>
                <w:b w:val="0"/>
                <w:rFonts w:ascii="Arial" w:hAnsi="Arial" w:eastAsia="Arial" w:cs="Arial"/>
                <w:sz w:val="20"/>
                <w:szCs w:val="20"/>
              </w:rPr>
              <w:t>Interface with Part 1</w:t>
            </w:r>
          </w:p>
        </w:tc>
        <w:tc>
          <w:tcPr>
            <w:tcW w:type="dxa" w:w="7488"/>
            <w:vAlign w:val="top"/>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before="0" w:line="240" w:lineRule="auto"/>
            </w:pPr>
            <w:r>
              <w:rPr>
                <w:b w:val="0"/>
                <w:rFonts w:ascii="Arial" w:hAnsi="Arial" w:eastAsia="Arial" w:cs="Arial"/>
                <w:sz w:val="20"/>
                <w:szCs w:val="20"/>
              </w:rPr>
              <w:t>Part 2a inherits the discipline of reference conditions, comparator pressure, localisation, TC/NTC separation, and source-lock discipline. It does not redefine life, Attribution Locus, or the life ladder.</w:t>
            </w:r>
          </w:p>
        </w:tc>
        <w:tc>
          <w:tcPr>
            <w:tcW w:type="dxa" w:w="4032"/>
            <w:vAlign w:val="top"/>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before="0" w:line="240" w:lineRule="auto"/>
            </w:pPr>
            <w:r>
              <w:rPr>
                <w:b w:val="0"/>
                <w:rFonts w:ascii="Arial" w:hAnsi="Arial" w:eastAsia="Arial" w:cs="Arial"/>
                <w:sz w:val="20"/>
                <w:szCs w:val="20"/>
              </w:rPr>
              <w:t>Do not import life-status, attribution topology, or life-procedure terms into Part 2a as if they were informational primitives.</w:t>
            </w:r>
          </w:p>
        </w:tc>
      </w:tr>
      <w:tr>
        <w:trPr/>
        <w:tc>
          <w:tcPr>
            <w:tcW w:type="dxa" w:w="2880"/>
            <w:vAlign w:val="top"/>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before="0" w:line="240" w:lineRule="auto"/>
            </w:pPr>
            <w:r>
              <w:rPr>
                <w:b w:val="0"/>
                <w:rFonts w:ascii="Arial" w:hAnsi="Arial" w:eastAsia="Arial" w:cs="Arial"/>
                <w:sz w:val="20"/>
                <w:szCs w:val="20"/>
              </w:rPr>
              <w:t>Interface with Part 2b</w:t>
            </w:r>
          </w:p>
        </w:tc>
        <w:tc>
          <w:tcPr>
            <w:tcW w:type="dxa" w:w="7488"/>
            <w:vAlign w:val="top"/>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before="0" w:line="240" w:lineRule="auto"/>
            </w:pPr>
            <w:r>
              <w:rPr>
                <w:b w:val="0"/>
                <w:rFonts w:ascii="Arial" w:hAnsi="Arial" w:eastAsia="Arial" w:cs="Arial"/>
                <w:sz w:val="20"/>
                <w:szCs w:val="20"/>
              </w:rPr>
              <w:t xml:space="preserve">Part 2b receives the primitive access architecture and the Part 2a physical grounding. Paper 1c supplies physical and derived relations; Papers 2, 4a and 4c now cite it in limited clarifications without changing their facet thresholds.</w:t>
            </w:r>
          </w:p>
        </w:tc>
        <w:tc>
          <w:tcPr>
            <w:tcW w:type="dxa" w:w="4032"/>
            <w:vAlign w:val="top"/>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before="0" w:line="240" w:lineRule="auto"/>
            </w:pPr>
            <w:r>
              <w:rPr>
                <w:b w:val="0"/>
                <w:rFonts w:ascii="Arial" w:hAnsi="Arial" w:eastAsia="Arial" w:cs="Arial"/>
                <w:sz w:val="20"/>
                <w:szCs w:val="20"/>
              </w:rPr>
              <w:t>Do not use Part 2b status ladders to rewrite RRP, signal, or reference-indexed realism; do not erase the broad Paper 1b bridge use of observation.</w:t>
            </w:r>
          </w:p>
        </w:tc>
      </w:tr>
      <w:tr>
        <w:trPr/>
        <w:tc>
          <w:tcPr>
            <w:tcW w:type="dxa" w:w="2880"/>
            <w:vAlign w:val="top"/>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before="0" w:line="240" w:lineRule="auto"/>
            </w:pPr>
            <w:r>
              <w:rPr>
                <w:b w:val="0"/>
                <w:rFonts w:ascii="Arial" w:hAnsi="Arial" w:eastAsia="Arial" w:cs="Arial"/>
                <w:sz w:val="20"/>
                <w:szCs w:val="20"/>
              </w:rPr>
              <w:t>Interface with observation-extension papers</w:t>
            </w:r>
          </w:p>
        </w:tc>
        <w:tc>
          <w:tcPr>
            <w:tcW w:type="dxa" w:w="7488"/>
            <w:vAlign w:val="top"/>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before="0" w:line="240" w:lineRule="auto"/>
            </w:pPr>
            <w:r>
              <w:rPr>
                <w:b w:val="0"/>
                <w:rFonts w:ascii="Arial" w:hAnsi="Arial" w:eastAsia="Arial" w:cs="Arial"/>
                <w:sz w:val="20"/>
                <w:szCs w:val="20"/>
              </w:rPr>
              <w:t>The observation extensions own the detailed cut/perspective, scale/measurement, and operational-envelope accounts. Paper 1c already treats physically supported abstraction and reachability; that does not transfer those downstream canonical definitions upstream.</w:t>
            </w:r>
          </w:p>
        </w:tc>
        <w:tc>
          <w:tcPr>
            <w:tcW w:type="dxa" w:w="4032"/>
            <w:vAlign w:val="top"/>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before="0" w:line="240" w:lineRule="auto"/>
            </w:pPr>
            <w:r>
              <w:rPr>
                <w:b w:val="0"/>
                <w:rFonts w:ascii="Arial" w:hAnsi="Arial" w:eastAsia="Arial" w:cs="Arial"/>
                <w:sz w:val="20"/>
                <w:szCs w:val="20"/>
              </w:rPr>
              <w:t>Do not pull cut, perspective, Scale Gap, OH, RF, or descriptor terms back into Part 2a as primitives.</w:t>
            </w:r>
          </w:p>
        </w:tc>
      </w:tr>
      <w:tr>
        <w:trPr/>
        <w:tc>
          <w:tcPr>
            <w:tcW w:type="dxa" w:w="2880"/>
            <w:vAlign w:val="top"/>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before="0" w:line="240" w:lineRule="auto"/>
            </w:pPr>
            <w:r>
              <w:rPr>
                <w:b w:val="0"/>
                <w:rFonts w:ascii="Arial" w:hAnsi="Arial" w:eastAsia="Arial" w:cs="Arial"/>
                <w:sz w:val="20"/>
                <w:szCs w:val="20"/>
              </w:rPr>
              <w:t>Interface with Part 3</w:t>
            </w:r>
          </w:p>
        </w:tc>
        <w:tc>
          <w:tcPr>
            <w:tcW w:type="dxa" w:w="7488"/>
            <w:vAlign w:val="top"/>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before="0" w:line="240" w:lineRule="auto"/>
            </w:pPr>
            <w:r>
              <w:rPr>
                <w:b w:val="0"/>
                <w:rFonts w:ascii="Arial" w:hAnsi="Arial" w:eastAsia="Arial" w:cs="Arial"/>
                <w:sz w:val="20"/>
                <w:szCs w:val="20"/>
              </w:rPr>
              <w:t>Part 2a names residual and closure discipline but does not supply the full discipline of the unknown. That burden belongs to Part 3.</w:t>
            </w:r>
          </w:p>
        </w:tc>
        <w:tc>
          <w:tcPr>
            <w:tcW w:type="dxa" w:w="4032"/>
            <w:vAlign w:val="top"/>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before="0" w:line="240" w:lineRule="auto"/>
            </w:pPr>
            <w:r>
              <w:rPr>
                <w:b w:val="0"/>
                <w:rFonts w:ascii="Arial" w:hAnsi="Arial" w:eastAsia="Arial" w:cs="Arial"/>
                <w:sz w:val="20"/>
                <w:szCs w:val="20"/>
              </w:rPr>
              <w:t>Do not turn residual into a verdict, explanation, or hidden closure procedure.</w:t>
            </w:r>
          </w:p>
        </w:tc>
      </w:tr>
      <w:tr>
        <w:trPr/>
        <w:tc>
          <w:tcPr>
            <w:tcW w:type="dxa" w:w="2880"/>
            <w:vAlign w:val="top"/>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before="0" w:line="240" w:lineRule="auto"/>
            </w:pPr>
            <w:r>
              <w:rPr>
                <w:b w:val="0"/>
                <w:rFonts w:ascii="Arial" w:hAnsi="Arial" w:eastAsia="Arial" w:cs="Arial"/>
                <w:sz w:val="20"/>
                <w:szCs w:val="20"/>
              </w:rPr>
              <w:t>Interface with support stack</w:t>
            </w:r>
          </w:p>
        </w:tc>
        <w:tc>
          <w:tcPr>
            <w:tcW w:type="dxa" w:w="7488"/>
            <w:vAlign w:val="top"/>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before="0" w:line="240" w:lineRule="auto"/>
            </w:pPr>
            <w:r>
              <w:rPr>
                <w:b w:val="0"/>
                <w:rFonts w:ascii="Arial" w:hAnsi="Arial" w:eastAsia="Arial" w:cs="Arial"/>
                <w:sz w:val="20"/>
                <w:szCs w:val="20"/>
              </w:rPr>
              <w:t>SD-01 compresses architecture. SD-02 defines controlled vocabulary. SD-03 records failure modes and corrections. Primary papers govern all technical use.</w:t>
            </w:r>
          </w:p>
        </w:tc>
        <w:tc>
          <w:tcPr>
            <w:tcW w:type="dxa" w:w="4032"/>
            <w:vAlign w:val="top"/>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before="0" w:line="240" w:lineRule="auto"/>
            </w:pPr>
            <w:r>
              <w:rPr>
                <w:b w:val="0"/>
                <w:rFonts w:ascii="Arial" w:hAnsi="Arial" w:eastAsia="Arial" w:cs="Arial"/>
                <w:sz w:val="20"/>
                <w:szCs w:val="20"/>
              </w:rPr>
              <w:t>Support documents remain secondary and must not become new canonical sources.</w:t>
            </w:r>
          </w:p>
        </w:tc>
      </w:tr>
    </w:tbl>
    <w:p>
      <w:pPr>
        <w:rPr>
          <w:rFonts w:ascii="Arial" w:hAnsi="Arial" w:eastAsia="Arial" w:cs="Arial"/>
          <w:sz w:val="22"/>
          <w:szCs w:val="22"/>
        </w:rPr>
        <w:widowControl/>
        <w:spacing w:before="0" w:after="0" w:line="240" w:lineRule="auto"/>
        <w:keepNext/>
      </w:pPr>
      <w:r>
        <w:rPr>
          <w:rFonts w:ascii="Arial" w:hAnsi="Arial" w:eastAsia="Arial" w:cs="Arial"/>
          <w:sz w:val="22"/>
        </w:rPr>
      </w:r>
    </w:p>
    <w:p>
      <w:pPr>
        <w:rPr>
          <w:rFonts w:ascii="Arial" w:hAnsi="Arial" w:eastAsia="Arial" w:cs="Arial"/>
          <w:sz w:val="30"/>
          <w:szCs w:val="30"/>
          <w:b w:val="1"/>
          <w:color w:val="1F4E79"/>
        </w:rPr>
        <w:pStyle w:val="Heading1"/>
        <w:widowControl/>
        <w:spacing w:before="80" w:after="40" w:line="240" w:lineRule="auto"/>
        <w:keepNext/>
        <w:keepLines/>
      </w:pPr>
      <w:r>
        <w:rPr>
          <w:rFonts w:ascii="Arial" w:hAnsi="Arial" w:eastAsia="Arial" w:cs="Arial"/>
          <w:sz w:val="30"/>
          <w:szCs w:val="30"/>
          <w:b w:val="1"/>
          <w:color w:val="1F4E79"/>
        </w:rPr>
        <w:t>10. Extension protocol and release checklist</w:t>
      </w:r>
    </w:p>
    <w:tbl>
      <w:tblPr>
        <w:tblW w:type="auto" w:w="0"/>
        <w:jc w:val="center"/>
        <w:tblLayout w:type="autofit"/>
        <w:tblLook w:firstColumn="1" w:firstRow="1" w:lastColumn="0" w:lastRow="0" w:noHBand="0" w:noVBand="1" w:val="04A0"/>
        <w:tblBorders>
          <w:top w:val="single" w:sz="4" w:color="7F7F7F"/>
          <w:left w:val="single" w:sz="4" w:color="7F7F7F"/>
          <w:bottom w:val="single" w:sz="4" w:color="7F7F7F"/>
          <w:right w:val="single" w:sz="4" w:color="7F7F7F"/>
          <w:insideH w:val="single" w:sz="4" w:color="7F7F7F"/>
          <w:insideV w:val="single" w:sz="4" w:color="7F7F7F"/>
        </w:tblBorders>
      </w:tblPr>
      <w:tblGrid>
        <w:gridCol w:w="4848"/>
        <w:gridCol w:w="4848"/>
        <w:gridCol w:w="4848"/>
      </w:tblGrid>
      <w:tr>
        <w:trPr>
          <w:tblHeader w:val="1"/>
        </w:trPr>
        <w:tc>
          <w:tcPr>
            <w:tcW w:type="dxa" w:w="3456"/>
            <w:vAlign w:val="top"/>
            <w:shd w:fill="D9EAF7" w:val="clear"/>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before="0" w:line="240" w:lineRule="auto"/>
            </w:pPr>
            <w:r>
              <w:rPr>
                <w:rFonts w:ascii="Arial" w:hAnsi="Arial" w:eastAsia="Arial" w:cs="Arial"/>
                <w:sz w:val="20"/>
                <w:szCs w:val="20"/>
                <w:b/>
              </w:rPr>
              <w:t>Checklist item</w:t>
            </w:r>
          </w:p>
        </w:tc>
        <w:tc>
          <w:tcPr>
            <w:tcW w:type="dxa" w:w="8496"/>
            <w:vAlign w:val="top"/>
            <w:shd w:fill="D9EAF7" w:val="clear"/>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before="0" w:line="240" w:lineRule="auto"/>
            </w:pPr>
            <w:r>
              <w:rPr>
                <w:rFonts w:ascii="Arial" w:hAnsi="Arial" w:eastAsia="Arial" w:cs="Arial"/>
                <w:sz w:val="20"/>
                <w:szCs w:val="20"/>
                <w:b/>
              </w:rPr>
              <w:t>Pass condition</w:t>
            </w:r>
          </w:p>
        </w:tc>
        <w:tc>
          <w:tcPr>
            <w:tcW w:type="dxa" w:w="2448"/>
            <w:vAlign w:val="top"/>
            <w:shd w:fill="D9EAF7" w:val="clear"/>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before="0" w:line="240" w:lineRule="auto"/>
            </w:pPr>
            <w:r>
              <w:rPr>
                <w:rFonts w:ascii="Arial" w:hAnsi="Arial" w:eastAsia="Arial" w:cs="Arial"/>
                <w:sz w:val="20"/>
                <w:szCs w:val="20"/>
                <w:b/>
              </w:rPr>
              <w:t>Release status</w:t>
            </w:r>
          </w:p>
        </w:tc>
      </w:tr>
      <w:tr>
        <w:trPr/>
        <w:tc>
          <w:tcPr>
            <w:tcW w:type="dxa" w:w="3456"/>
            <w:vAlign w:val="top"/>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before="0" w:line="240" w:lineRule="auto"/>
            </w:pPr>
            <w:r>
              <w:rPr>
                <w:b w:val="0"/>
                <w:rFonts w:ascii="Arial" w:hAnsi="Arial" w:eastAsia="Arial" w:cs="Arial"/>
                <w:sz w:val="20"/>
                <w:szCs w:val="20"/>
              </w:rPr>
              <w:t>Source lock and scope verified</w:t>
            </w:r>
          </w:p>
        </w:tc>
        <w:tc>
          <w:tcPr>
            <w:tcW w:type="dxa" w:w="8496"/>
            <w:vAlign w:val="top"/>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before="0" w:line="240" w:lineRule="auto"/>
            </w:pPr>
            <w:r>
              <w:rPr>
                <w:b w:val="0"/>
                <w:rFonts w:ascii="Arial" w:hAnsi="Arial" w:eastAsia="Arial" w:cs="Arial"/>
                <w:sz w:val="20"/>
                <w:szCs w:val="20"/>
              </w:rPr>
              <w:t xml:space="preserve">Paper 1c's current digest is verified against the available Issue 1 bytes, including its apparatus. Papers 1, 1a and 1b retain their previously recorded Issue 1 locks without fresh byte verification; see 0.1.</w:t>
            </w:r>
          </w:p>
        </w:tc>
        <w:tc>
          <w:tcPr>
            <w:tcW w:type="dxa" w:w="2448"/>
            <w:vAlign w:val="top"/>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before="0" w:line="240" w:lineRule="auto"/>
            </w:pPr>
            <w:r>
              <w:rPr>
                <w:b w:val="0"/>
                <w:rFonts w:ascii="Arial" w:hAnsi="Arial" w:eastAsia="Arial" w:cs="Arial"/>
                <w:sz w:val="20"/>
                <w:szCs w:val="20"/>
              </w:rPr>
              <w:t xml:space="preserve">Reconciled; verification scope in 0.1</w:t>
            </w:r>
          </w:p>
        </w:tc>
      </w:tr>
      <w:tr>
        <w:trPr/>
        <w:tc>
          <w:tcPr>
            <w:tcW w:type="dxa" w:w="3456"/>
            <w:vAlign w:val="top"/>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before="0" w:line="240" w:lineRule="auto"/>
            </w:pPr>
            <w:r>
              <w:rPr>
                <w:b w:val="0"/>
                <w:rFonts w:ascii="Arial" w:hAnsi="Arial" w:eastAsia="Arial" w:cs="Arial"/>
                <w:sz w:val="20"/>
                <w:szCs w:val="20"/>
              </w:rPr>
              <w:t>Split-Part boundary preserved</w:t>
            </w:r>
          </w:p>
        </w:tc>
        <w:tc>
          <w:tcPr>
            <w:tcW w:type="dxa" w:w="8496"/>
            <w:vAlign w:val="top"/>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before="0" w:line="240" w:lineRule="auto"/>
            </w:pPr>
            <w:r>
              <w:rPr>
                <w:b w:val="0"/>
                <w:rFonts w:ascii="Arial" w:hAnsi="Arial" w:eastAsia="Arial" w:cs="Arial"/>
                <w:sz w:val="20"/>
                <w:szCs w:val="20"/>
              </w:rPr>
              <w:t>Part 2b ladders remain downstream. Paper 1b broad observation and Paper 1c physical grounding, abstraction, and derived reachability remain permitted upstream uses, not substitutes for the later facet-specific accounts.</w:t>
            </w:r>
          </w:p>
        </w:tc>
        <w:tc>
          <w:tcPr>
            <w:tcW w:type="dxa" w:w="2448"/>
            <w:vAlign w:val="top"/>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before="0" w:line="240" w:lineRule="auto"/>
            </w:pPr>
            <w:r>
              <w:rPr>
                <w:b w:val="0"/>
                <w:rFonts w:ascii="Arial" w:hAnsi="Arial" w:eastAsia="Arial" w:cs="Arial"/>
                <w:sz w:val="20"/>
                <w:szCs w:val="20"/>
              </w:rPr>
              <w:t>Verified for Issue 1</w:t>
            </w:r>
          </w:p>
        </w:tc>
      </w:tr>
      <w:tr>
        <w:trPr/>
        <w:tc>
          <w:tcPr>
            <w:tcW w:type="dxa" w:w="3456"/>
            <w:vAlign w:val="top"/>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before="0" w:line="240" w:lineRule="auto"/>
            </w:pPr>
            <w:r>
              <w:rPr>
                <w:b w:val="0"/>
                <w:rFonts w:ascii="Arial" w:hAnsi="Arial" w:eastAsia="Arial" w:cs="Arial"/>
                <w:sz w:val="20"/>
                <w:szCs w:val="20"/>
              </w:rPr>
              <w:t>RRP definition preserved</w:t>
            </w:r>
          </w:p>
        </w:tc>
        <w:tc>
          <w:tcPr>
            <w:tcW w:type="dxa" w:w="8496"/>
            <w:vAlign w:val="top"/>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before="0" w:line="240" w:lineRule="auto"/>
            </w:pPr>
            <w:r>
              <w:rPr>
                <w:b w:val="0"/>
                <w:rFonts w:ascii="Arial" w:hAnsi="Arial" w:eastAsia="Arial" w:cs="Arial"/>
                <w:sz w:val="20"/>
                <w:szCs w:val="20"/>
              </w:rPr>
              <w:t>RRP remains the locus-interface-regime reference node from which distinction evaluation becomes well-posed.</w:t>
            </w:r>
          </w:p>
        </w:tc>
        <w:tc>
          <w:tcPr>
            <w:tcW w:type="dxa" w:w="2448"/>
            <w:vAlign w:val="top"/>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before="0" w:line="240" w:lineRule="auto"/>
            </w:pPr>
            <w:r>
              <w:rPr>
                <w:b w:val="0"/>
                <w:rFonts w:ascii="Arial" w:hAnsi="Arial" w:eastAsia="Arial" w:cs="Arial"/>
                <w:sz w:val="20"/>
                <w:szCs w:val="20"/>
              </w:rPr>
              <w:t>Verified for Issue 1</w:t>
            </w:r>
          </w:p>
        </w:tc>
      </w:tr>
      <w:tr>
        <w:trPr/>
        <w:tc>
          <w:tcPr>
            <w:tcW w:type="dxa" w:w="3456"/>
            <w:vAlign w:val="top"/>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before="0" w:line="240" w:lineRule="auto"/>
            </w:pPr>
            <w:r>
              <w:rPr>
                <w:b w:val="0"/>
                <w:rFonts w:ascii="Arial" w:hAnsi="Arial" w:eastAsia="Arial" w:cs="Arial"/>
                <w:sz w:val="20"/>
                <w:szCs w:val="20"/>
              </w:rPr>
              <w:t>RRP Set sequence preserved</w:t>
            </w:r>
          </w:p>
        </w:tc>
        <w:tc>
          <w:tcPr>
            <w:tcW w:type="dxa" w:w="8496"/>
            <w:vAlign w:val="top"/>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before="0" w:line="240" w:lineRule="auto"/>
            </w:pPr>
            <w:r>
              <w:rPr>
                <w:b w:val="0"/>
                <w:rFonts w:ascii="Arial" w:hAnsi="Arial" w:eastAsia="Arial" w:cs="Arial"/>
                <w:sz w:val="20"/>
                <w:szCs w:val="20"/>
              </w:rPr>
              <w:t>OP, OA, OR, RAS, and RSD are not collapsed into a single information label.</w:t>
            </w:r>
          </w:p>
        </w:tc>
        <w:tc>
          <w:tcPr>
            <w:tcW w:type="dxa" w:w="2448"/>
            <w:vAlign w:val="top"/>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before="0" w:line="240" w:lineRule="auto"/>
            </w:pPr>
            <w:r>
              <w:rPr>
                <w:b w:val="0"/>
                <w:rFonts w:ascii="Arial" w:hAnsi="Arial" w:eastAsia="Arial" w:cs="Arial"/>
                <w:sz w:val="20"/>
                <w:szCs w:val="20"/>
              </w:rPr>
              <w:t>Verified for Issue 1</w:t>
            </w:r>
          </w:p>
        </w:tc>
      </w:tr>
      <w:tr>
        <w:trPr/>
        <w:tc>
          <w:tcPr>
            <w:tcW w:type="dxa" w:w="3456"/>
            <w:vAlign w:val="top"/>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before="0" w:line="240" w:lineRule="auto"/>
            </w:pPr>
            <w:r>
              <w:rPr>
                <w:b w:val="0"/>
                <w:rFonts w:ascii="Arial" w:hAnsi="Arial" w:eastAsia="Arial" w:cs="Arial"/>
                <w:sz w:val="20"/>
                <w:szCs w:val="20"/>
              </w:rPr>
              <w:t>Signal pathway preserved</w:t>
            </w:r>
          </w:p>
        </w:tc>
        <w:tc>
          <w:tcPr>
            <w:tcW w:type="dxa" w:w="8496"/>
            <w:vAlign w:val="top"/>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before="0" w:line="240" w:lineRule="auto"/>
            </w:pPr>
            <w:r>
              <w:rPr>
                <w:b w:val="0"/>
                <w:rFonts w:ascii="Arial" w:hAnsi="Arial" w:eastAsia="Arial" w:cs="Arial"/>
                <w:sz w:val="20"/>
                <w:szCs w:val="20"/>
              </w:rPr>
              <w:t>Signal remains physical variation preserved as contrast through a medium under possible discrimination conditions, not primitive information or mere variation.</w:t>
            </w:r>
          </w:p>
        </w:tc>
        <w:tc>
          <w:tcPr>
            <w:tcW w:type="dxa" w:w="2448"/>
            <w:vAlign w:val="top"/>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before="0" w:line="240" w:lineRule="auto"/>
            </w:pPr>
            <w:r>
              <w:rPr>
                <w:b w:val="0"/>
                <w:rFonts w:ascii="Arial" w:hAnsi="Arial" w:eastAsia="Arial" w:cs="Arial"/>
                <w:sz w:val="20"/>
                <w:szCs w:val="20"/>
              </w:rPr>
              <w:t>Verified for Issue 1</w:t>
            </w:r>
          </w:p>
        </w:tc>
      </w:tr>
      <w:tr>
        <w:trPr/>
        <w:tc>
          <w:tcPr>
            <w:tcW w:type="dxa" w:w="3456"/>
            <w:vAlign w:val="top"/>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before="0" w:line="240" w:lineRule="auto"/>
            </w:pPr>
            <w:r>
              <w:rPr>
                <w:b w:val="0"/>
                <w:rFonts w:ascii="Arial" w:hAnsi="Arial" w:eastAsia="Arial" w:cs="Arial"/>
                <w:sz w:val="20"/>
                <w:szCs w:val="20"/>
              </w:rPr>
              <w:t>Persistence/OP/RAS separation preserved</w:t>
            </w:r>
          </w:p>
        </w:tc>
        <w:tc>
          <w:tcPr>
            <w:tcW w:type="dxa" w:w="8496"/>
            <w:vAlign w:val="top"/>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before="0" w:line="240" w:lineRule="auto"/>
            </w:pPr>
            <w:r>
              <w:rPr>
                <w:b w:val="0"/>
                <w:rFonts w:ascii="Arial" w:hAnsi="Arial" w:eastAsia="Arial" w:cs="Arial"/>
                <w:sz w:val="20"/>
                <w:szCs w:val="20"/>
              </w:rPr>
              <w:t>Persistence, propagation, marks, residues, and altered states remain physical properties and are not independent information stages or automatic OP/RAS statuses.</w:t>
            </w:r>
          </w:p>
        </w:tc>
        <w:tc>
          <w:tcPr>
            <w:tcW w:type="dxa" w:w="2448"/>
            <w:vAlign w:val="top"/>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before="0" w:line="240" w:lineRule="auto"/>
            </w:pPr>
            <w:r>
              <w:rPr>
                <w:b w:val="0"/>
                <w:rFonts w:ascii="Arial" w:hAnsi="Arial" w:eastAsia="Arial" w:cs="Arial"/>
                <w:sz w:val="20"/>
                <w:szCs w:val="20"/>
              </w:rPr>
              <w:t>Verified for Issue 1</w:t>
            </w:r>
          </w:p>
        </w:tc>
      </w:tr>
      <w:tr>
        <w:trPr/>
        <w:tc>
          <w:tcPr>
            <w:tcW w:type="dxa" w:w="3456"/>
            <w:vAlign w:val="top"/>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before="0" w:line="240" w:lineRule="auto"/>
            </w:pPr>
            <w:r>
              <w:rPr>
                <w:b w:val="0"/>
                <w:rFonts w:ascii="Arial" w:hAnsi="Arial" w:eastAsia="Arial" w:cs="Arial"/>
                <w:sz w:val="20"/>
                <w:szCs w:val="20"/>
              </w:rPr>
              <w:t>Relative/indexed guardrail preserved</w:t>
            </w:r>
          </w:p>
        </w:tc>
        <w:tc>
          <w:tcPr>
            <w:tcW w:type="dxa" w:w="8496"/>
            <w:vAlign w:val="top"/>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before="0" w:line="240" w:lineRule="auto"/>
            </w:pPr>
            <w:r>
              <w:rPr>
                <w:b w:val="0"/>
                <w:rFonts w:ascii="Arial" w:hAnsi="Arial" w:eastAsia="Arial" w:cs="Arial"/>
                <w:sz w:val="20"/>
                <w:szCs w:val="20"/>
              </w:rPr>
              <w:t>Relative means reference-conditioned and reality-constrained, not subjective, arbitrary, or weak.</w:t>
            </w:r>
          </w:p>
        </w:tc>
        <w:tc>
          <w:tcPr>
            <w:tcW w:type="dxa" w:w="2448"/>
            <w:vAlign w:val="top"/>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before="0" w:line="240" w:lineRule="auto"/>
            </w:pPr>
            <w:r>
              <w:rPr>
                <w:b w:val="0"/>
                <w:rFonts w:ascii="Arial" w:hAnsi="Arial" w:eastAsia="Arial" w:cs="Arial"/>
                <w:sz w:val="20"/>
                <w:szCs w:val="20"/>
              </w:rPr>
              <w:t>Verified for Issue 1</w:t>
            </w:r>
          </w:p>
        </w:tc>
      </w:tr>
      <w:tr>
        <w:trPr/>
        <w:tc>
          <w:tcPr>
            <w:tcW w:type="dxa" w:w="3456"/>
            <w:vAlign w:val="top"/>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before="0" w:line="240" w:lineRule="auto"/>
            </w:pPr>
            <w:r>
              <w:rPr>
                <w:b w:val="0"/>
                <w:rFonts w:ascii="Arial" w:hAnsi="Arial" w:eastAsia="Arial" w:cs="Arial"/>
                <w:sz w:val="20"/>
                <w:szCs w:val="20"/>
              </w:rPr>
              <w:t>Event horizon guardrail preserved</w:t>
            </w:r>
          </w:p>
        </w:tc>
        <w:tc>
          <w:tcPr>
            <w:tcW w:type="dxa" w:w="8496"/>
            <w:vAlign w:val="top"/>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before="0" w:line="240" w:lineRule="auto"/>
            </w:pPr>
            <w:r>
              <w:rPr>
                <w:b w:val="0"/>
                <w:rFonts w:ascii="Arial" w:hAnsi="Arial" w:eastAsia="Arial" w:cs="Arial"/>
                <w:sz w:val="20"/>
                <w:szCs w:val="20"/>
              </w:rPr>
              <w:t>Locus Event Horizon names ingress-boundary of possible relation, not an edge of reality, excuse for ignorance, or observation-program descriptor.</w:t>
            </w:r>
          </w:p>
        </w:tc>
        <w:tc>
          <w:tcPr>
            <w:tcW w:type="dxa" w:w="2448"/>
            <w:vAlign w:val="top"/>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before="0" w:line="240" w:lineRule="auto"/>
            </w:pPr>
            <w:r>
              <w:rPr>
                <w:b w:val="0"/>
                <w:rFonts w:ascii="Arial" w:hAnsi="Arial" w:eastAsia="Arial" w:cs="Arial"/>
                <w:sz w:val="20"/>
                <w:szCs w:val="20"/>
              </w:rPr>
              <w:t>Verified for Issue 1</w:t>
            </w:r>
          </w:p>
        </w:tc>
      </w:tr>
      <w:tr>
        <w:trPr/>
        <w:tc>
          <w:tcPr>
            <w:tcW w:type="dxa" w:w="3456"/>
            <w:vAlign w:val="top"/>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before="0" w:line="240" w:lineRule="auto"/>
            </w:pPr>
            <w:r>
              <w:rPr>
                <w:b w:val="0"/>
                <w:rFonts w:ascii="Arial" w:hAnsi="Arial" w:eastAsia="Arial" w:cs="Arial"/>
                <w:sz w:val="20"/>
                <w:szCs w:val="20"/>
              </w:rPr>
              <w:t>Realism scaffold preserved</w:t>
            </w:r>
          </w:p>
        </w:tc>
        <w:tc>
          <w:tcPr>
            <w:tcW w:type="dxa" w:w="8496"/>
            <w:vAlign w:val="top"/>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before="0" w:line="240" w:lineRule="auto"/>
            </w:pPr>
            <w:r>
              <w:rPr>
                <w:b w:val="0"/>
                <w:rFonts w:ascii="Arial" w:hAnsi="Arial" w:eastAsia="Arial" w:cs="Arial"/>
                <w:sz w:val="20"/>
                <w:szCs w:val="20"/>
              </w:rPr>
              <w:t>Ontological target, access scaffold, finite model, comparator pressure, and residual remain distinct.</w:t>
            </w:r>
          </w:p>
        </w:tc>
        <w:tc>
          <w:tcPr>
            <w:tcW w:type="dxa" w:w="2448"/>
            <w:vAlign w:val="top"/>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before="0" w:line="240" w:lineRule="auto"/>
            </w:pPr>
            <w:r>
              <w:rPr>
                <w:b w:val="0"/>
                <w:rFonts w:ascii="Arial" w:hAnsi="Arial" w:eastAsia="Arial" w:cs="Arial"/>
                <w:sz w:val="20"/>
                <w:szCs w:val="20"/>
              </w:rPr>
              <w:t>Verified for Issue 1</w:t>
            </w:r>
          </w:p>
        </w:tc>
      </w:tr>
      <w:tr>
        <w:trPr/>
        <w:tc>
          <w:tcPr>
            <w:tcW w:type="dxa" w:w="3456"/>
            <w:vAlign w:val="top"/>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before="0" w:line="240" w:lineRule="auto"/>
            </w:pPr>
            <w:r>
              <w:rPr>
                <w:b w:val="0"/>
                <w:rFonts w:ascii="Arial" w:hAnsi="Arial" w:eastAsia="Arial" w:cs="Arial"/>
                <w:sz w:val="20"/>
                <w:szCs w:val="20"/>
              </w:rPr>
              <w:t>Residual carried forward</w:t>
            </w:r>
          </w:p>
        </w:tc>
        <w:tc>
          <w:tcPr>
            <w:tcW w:type="dxa" w:w="8496"/>
            <w:vAlign w:val="top"/>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before="0" w:line="240" w:lineRule="auto"/>
            </w:pPr>
            <w:r>
              <w:rPr>
                <w:b w:val="0"/>
                <w:rFonts w:ascii="Arial" w:hAnsi="Arial" w:eastAsia="Arial" w:cs="Arial"/>
                <w:sz w:val="20"/>
                <w:szCs w:val="20"/>
              </w:rPr>
              <w:t>Unresolved mismatch, unsupported target reach, missing comparator, unavailable contrast, or unsatisfied scale/horizon condition remains explicit.</w:t>
            </w:r>
          </w:p>
        </w:tc>
        <w:tc>
          <w:tcPr>
            <w:tcW w:type="dxa" w:w="2448"/>
            <w:vAlign w:val="top"/>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before="0" w:line="240" w:lineRule="auto"/>
            </w:pPr>
            <w:r>
              <w:rPr>
                <w:b w:val="0"/>
                <w:rFonts w:ascii="Arial" w:hAnsi="Arial" w:eastAsia="Arial" w:cs="Arial"/>
                <w:sz w:val="20"/>
                <w:szCs w:val="20"/>
              </w:rPr>
              <w:t>Verified for Issue 1</w:t>
            </w:r>
          </w:p>
        </w:tc>
      </w:tr>
      <w:tr>
        <w:trPr/>
        <w:tc>
          <w:tcPr>
            <w:tcW w:type="dxa" w:w="3456"/>
            <w:vAlign w:val="top"/>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before="0" w:line="240" w:lineRule="auto"/>
            </w:pPr>
            <w:r>
              <w:rPr>
                <w:b w:val="0"/>
                <w:rFonts w:ascii="Arial" w:hAnsi="Arial" w:eastAsia="Arial" w:cs="Arial"/>
                <w:sz w:val="20"/>
                <w:szCs w:val="20"/>
              </w:rPr>
              <w:t>Paper 1c distinctions preserved</w:t>
            </w:r>
          </w:p>
        </w:tc>
        <w:tc>
          <w:tcPr>
            <w:tcW w:type="dxa" w:w="8496"/>
            <w:vAlign w:val="top"/>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before="0" w:line="240" w:lineRule="auto"/>
            </w:pPr>
            <w:r>
              <w:rPr>
                <w:b w:val="0"/>
                <w:rFonts w:ascii="Arial" w:hAnsi="Arial" w:eastAsia="Arial" w:cs="Arial"/>
                <w:sz w:val="20"/>
                <w:szCs w:val="20"/>
              </w:rPr>
              <w:t>Primitive RAS, embodiment, derived reachability, distributed Form, relational index, finite model, and residual remain separate.</w:t>
            </w:r>
          </w:p>
        </w:tc>
        <w:tc>
          <w:tcPr>
            <w:tcW w:type="dxa" w:w="2448"/>
            <w:vAlign w:val="top"/>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before="0" w:line="240" w:lineRule="auto"/>
            </w:pPr>
            <w:r>
              <w:rPr>
                <w:b w:val="0"/>
                <w:rFonts w:ascii="Arial" w:hAnsi="Arial" w:eastAsia="Arial" w:cs="Arial"/>
                <w:sz w:val="20"/>
                <w:szCs w:val="20"/>
              </w:rPr>
              <w:t>Verified for Issue 1</w:t>
            </w:r>
          </w:p>
        </w:tc>
      </w:tr>
      <w:tr>
        <w:trPr/>
        <w:tc>
          <w:tcPr>
            <w:tcW w:type="dxa" w:w="3456"/>
            <w:vAlign w:val="top"/>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before="0" w:line="240" w:lineRule="auto"/>
            </w:pPr>
            <w:r>
              <w:rPr>
                <w:b w:val="0"/>
                <w:rFonts w:ascii="Arial" w:hAnsi="Arial" w:eastAsia="Arial" w:cs="Arial"/>
                <w:sz w:val="20"/>
                <w:szCs w:val="20"/>
              </w:rPr>
              <w:t>Selective propagation preserved</w:t>
            </w:r>
          </w:p>
        </w:tc>
        <w:tc>
          <w:tcPr>
            <w:tcW w:type="dxa" w:w="8496"/>
            <w:vAlign w:val="top"/>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before="0" w:line="240" w:lineRule="auto"/>
            </w:pPr>
            <w:r>
              <w:rPr>
                <w:b w:val="0"/>
                <w:rFonts w:ascii="Arial" w:hAnsi="Arial" w:eastAsia="Arial" w:cs="Arial"/>
                <w:sz w:val="20"/>
                <w:szCs w:val="20"/>
              </w:rPr>
              <w:t>Receiving loci earn their own relation; distinguish preserved contrast, lost contrast, and never-coupled difference.</w:t>
            </w:r>
          </w:p>
        </w:tc>
        <w:tc>
          <w:tcPr>
            <w:tcW w:type="dxa" w:w="2448"/>
            <w:vAlign w:val="top"/>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before="0" w:line="240" w:lineRule="auto"/>
            </w:pPr>
            <w:r>
              <w:rPr>
                <w:b w:val="0"/>
                <w:rFonts w:ascii="Arial" w:hAnsi="Arial" w:eastAsia="Arial" w:cs="Arial"/>
                <w:sz w:val="20"/>
                <w:szCs w:val="20"/>
              </w:rPr>
              <w:t>Verified for Issue 1</w:t>
            </w:r>
          </w:p>
        </w:tc>
      </w:tr>
      <w:tr>
        <w:trPr/>
        <w:tc>
          <w:tcPr>
            <w:tcW w:type="dxa" w:w="3456"/>
            <w:vAlign w:val="top"/>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before="0" w:line="240" w:lineRule="auto"/>
            </w:pPr>
            <w:r>
              <w:rPr>
                <w:b w:val="0"/>
                <w:rFonts w:ascii="Arial" w:hAnsi="Arial" w:eastAsia="Arial" w:cs="Arial"/>
                <w:sz w:val="20"/>
                <w:szCs w:val="20"/>
              </w:rPr>
              <w:t>No collision with RF</w:t>
            </w:r>
          </w:p>
        </w:tc>
        <w:tc>
          <w:tcPr>
            <w:tcW w:type="dxa" w:w="8496"/>
            <w:vAlign w:val="top"/>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before="0" w:line="240" w:lineRule="auto"/>
            </w:pPr>
            <w:r>
              <w:rPr>
                <w:b w:val="0"/>
                <w:rFonts w:ascii="Arial" w:hAnsi="Arial" w:eastAsia="Arial" w:cs="Arial"/>
                <w:sz w:val="20"/>
                <w:szCs w:val="20"/>
              </w:rPr>
              <w:t>Write Relational Form in full; RF remains Registration Fidelity in Paper 4c.</w:t>
            </w:r>
          </w:p>
        </w:tc>
        <w:tc>
          <w:tcPr>
            <w:tcW w:type="dxa" w:w="2448"/>
            <w:vAlign w:val="top"/>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before="0" w:line="240" w:lineRule="auto"/>
            </w:pPr>
            <w:r>
              <w:rPr>
                <w:b w:val="0"/>
                <w:rFonts w:ascii="Arial" w:hAnsi="Arial" w:eastAsia="Arial" w:cs="Arial"/>
                <w:sz w:val="20"/>
                <w:szCs w:val="20"/>
              </w:rPr>
              <w:t>Verified for Issue 1</w:t>
            </w:r>
          </w:p>
        </w:tc>
      </w:tr>
    </w:tbl>
    <w:p>
      <w:pPr>
        <w:rPr>
          <w:rFonts w:ascii="Arial" w:hAnsi="Arial" w:eastAsia="Arial" w:cs="Arial"/>
          <w:sz w:val="22"/>
          <w:szCs w:val="22"/>
        </w:rPr>
        <w:widowControl/>
        <w:spacing w:before="0" w:after="0" w:line="240" w:lineRule="auto"/>
        <w:keepNext/>
      </w:pPr>
      <w:r>
        <w:rPr>
          <w:rFonts w:ascii="Arial" w:hAnsi="Arial" w:eastAsia="Arial" w:cs="Arial"/>
          <w:sz w:val="22"/>
        </w:rPr>
      </w:r>
    </w:p>
    <w:p>
      <w:pPr>
        <w:pageBreakBefore/>
        <w:widowControl/>
        <w:rPr>
          <w:rFonts w:ascii="Arial" w:hAnsi="Arial" w:eastAsia="Arial" w:cs="Arial"/>
          <w:sz w:val="30"/>
          <w:szCs w:val="30"/>
          <w:b w:val="1"/>
          <w:color w:val="1F4E79"/>
        </w:rPr>
        <w:pStyle w:val="Heading1"/>
        <w:keepNext/>
        <w:keepLines/>
      </w:pPr>
      <w:r>
        <w:rPr>
          <w:rFonts w:ascii="Arial" w:hAnsi="Arial" w:eastAsia="Arial" w:cs="Arial"/>
          <w:sz w:val="30"/>
          <w:szCs w:val="30"/>
          <w:b w:val="1"/>
          <w:color w:val="1F4E79"/>
        </w:rPr>
        <w:t>Part 2b - Knowledge, Intelligence, and Observation</w:t>
      </w:r>
    </w:p>
    <w:p>
      <w:pPr>
        <w:widowControl/>
        <w:rPr>
          <w:rFonts w:ascii="Arial" w:hAnsi="Arial" w:eastAsia="Arial" w:cs="Arial"/>
          <w:sz w:val="22"/>
          <w:szCs w:val="22"/>
        </w:rPr>
      </w:pPr>
      <w:r>
        <w:rPr>
          <w:i/>
          <w:rFonts w:ascii="Arial" w:hAnsi="Arial" w:eastAsia="Arial" w:cs="Arial"/>
          <w:sz w:val="22"/>
          <w:szCs w:val="22"/>
        </w:rPr>
        <w:t>Internal Part 2b support section. Papers 2, 3, 4, 4a, 4b, and 4c govern this region and inherit the Part 2a informational architecture. All paper-number references in this section use the current sequential numbering.</w:t>
      </w:r>
    </w:p>
    <w:p>
      <w:pPr>
        <w:rPr>
          <w:rFonts w:ascii="Arial" w:hAnsi="Arial" w:eastAsia="Arial" w:cs="Arial"/>
          <w:sz w:val="30"/>
          <w:szCs w:val="30"/>
          <w:b w:val="1"/>
          <w:color w:val="1F4E79"/>
        </w:rPr>
        <w:widowControl/>
        <w:spacing w:before="60" w:after="40" w:line="240" w:lineRule="auto"/>
        <w:pStyle w:val="Heading1"/>
        <w:keepNext/>
        <w:keepLines/>
      </w:pPr>
      <w:r>
        <w:rPr>
          <w:i w:val="0"/>
          <w:rFonts w:ascii="Arial" w:hAnsi="Arial" w:eastAsia="Arial" w:cs="Arial"/>
          <w:sz w:val="30"/>
          <w:szCs w:val="30"/>
          <w:b w:val="1"/>
          <w:color w:val="1F4E79"/>
        </w:rPr>
        <w:t>0. Status, function, and source discipline</w:t>
      </w:r>
    </w:p>
    <w:p>
      <w:pPr>
        <w:rPr>
          <w:rFonts w:ascii="Arial" w:hAnsi="Arial" w:eastAsia="Arial" w:cs="Arial"/>
          <w:sz w:val="22"/>
          <w:szCs w:val="22"/>
        </w:rPr>
        <w:widowControl/>
        <w:spacing w:before="0" w:after="40" w:line="240" w:lineRule="auto"/>
      </w:pPr>
      <w:r>
        <w:rPr>
          <w:b w:val="0"/>
          <w:i w:val="0"/>
          <w:rFonts w:ascii="Arial" w:hAnsi="Arial" w:eastAsia="Arial" w:cs="Arial"/>
          <w:sz w:val="22"/>
          <w:szCs w:val="22"/>
        </w:rPr>
        <w:t>This internal Part 2b section is the controlled Concept Compression Map for Part 2b: Knowledge, Intelligence, and Observation. It is not an additional canonical paper. Its function is to reduce the current six-paper source set into a stable support-reference form while preserving canonical ownership and the inherited architecture from Part 2a.</w:t>
      </w:r>
    </w:p>
    <w:p>
      <w:pPr>
        <w:rPr>
          <w:rFonts w:ascii="Arial" w:hAnsi="Arial" w:eastAsia="Arial" w:cs="Arial"/>
          <w:sz w:val="22"/>
          <w:szCs w:val="22"/>
        </w:rPr>
        <w:widowControl/>
        <w:spacing w:before="0" w:after="40" w:line="240" w:lineRule="auto"/>
      </w:pPr>
      <w:r>
        <w:rPr>
          <w:b w:val="0"/>
          <w:i w:val="0"/>
          <w:rFonts w:ascii="Arial" w:hAnsi="Arial" w:eastAsia="Arial" w:cs="Arial"/>
          <w:sz w:val="22"/>
          <w:szCs w:val="22"/>
        </w:rPr>
        <w:t>The map records a continuous sequence. Knowledge is retained distinction. Intelligence is applied distinction. Observation is bounded registration. Observation is then shown to be abstraction-bound through cut, abstraction regime, perspective, Abstraction Gap, relational uncertainty, and correction; scale-bound through magnitude, reference scale, operative scale, measurement, and Scale Gap; and operationally bounded through a descriptor layer that localises reach, intervention range, fidelity, bandwidth, depth, gain, drift, load, and collapse.</w:t>
      </w:r>
    </w:p>
    <w:p>
      <w:pPr>
        <w:rPr>
          <w:rFonts w:ascii="Arial" w:hAnsi="Arial" w:eastAsia="Arial" w:cs="Arial"/>
          <w:sz w:val="22"/>
          <w:szCs w:val="22"/>
        </w:rPr>
        <w:widowControl/>
        <w:spacing w:before="0" w:after="40" w:line="240" w:lineRule="auto"/>
      </w:pPr>
      <w:r>
        <w:rPr>
          <w:b w:val="0"/>
          <w:i w:val="0"/>
          <w:rFonts w:ascii="Arial" w:hAnsi="Arial" w:eastAsia="Arial" w:cs="Arial"/>
          <w:sz w:val="22"/>
          <w:szCs w:val="22"/>
        </w:rPr>
        <w:t>Where this document uses compressed language, the corresponding primary paper governs technical use. Support shorthand must never become a new definition, status route, or warrant claim.</w:t>
      </w:r>
    </w:p>
    <w:p>
      <w:pPr>
        <w:rPr>
          <w:rFonts w:ascii="Arial" w:hAnsi="Arial" w:eastAsia="Arial" w:cs="Arial"/>
          <w:sz w:val="22"/>
          <w:szCs w:val="22"/>
        </w:rPr>
        <w:widowControl/>
        <w:spacing w:before="0" w:after="40" w:line="240" w:lineRule="auto"/>
      </w:pPr>
      <w:r>
        <w:rPr>
          <w:b w:val="0"/>
          <w:i w:val="0"/>
          <w:rFonts w:ascii="Arial" w:hAnsi="Arial" w:eastAsia="Arial" w:cs="Arial"/>
          <w:sz w:val="22"/>
          <w:szCs w:val="22"/>
        </w:rPr>
        <w:t xml:space="preserve">This Issue 1 copy retains the active-information provenance rule and reconciles support use to the six released Part 2b files in 0.1: made status is fixed by the producing locus through prior distinction-conditioned organisation. Later encounter or reuse establishes a new access-and-use relation; it does not create or erase that provenance. The reissued Papers 2, 4a and 4c now include limited Paper 1c integrations; their facet thresholds remain unchanged.</w:t>
      </w:r>
    </w:p>
    <w:p>
      <w:pPr>
        <w:rPr>
          <w:rFonts w:ascii="Arial" w:hAnsi="Arial" w:eastAsia="Arial" w:cs="Arial"/>
          <w:sz w:val="30"/>
          <w:szCs w:val="30"/>
          <w:b w:val="1"/>
          <w:color w:val="1F4E79"/>
        </w:rPr>
        <w:widowControl/>
        <w:spacing w:before="60" w:after="40" w:line="240" w:lineRule="auto"/>
        <w:pStyle w:val="Heading1"/>
        <w:keepNext/>
        <w:keepLines/>
      </w:pPr>
      <w:r>
        <w:rPr>
          <w:i w:val="0"/>
          <w:rFonts w:ascii="Arial" w:hAnsi="Arial" w:eastAsia="Arial" w:cs="Arial"/>
          <w:sz w:val="30"/>
          <w:szCs w:val="30"/>
          <w:b w:val="1"/>
          <w:color w:val="1F4E79"/>
        </w:rPr>
        <w:t>1. Part compression in one sentence</w:t>
      </w:r>
    </w:p>
    <w:p>
      <w:pPr>
        <w:rPr>
          <w:rFonts w:ascii="Arial" w:hAnsi="Arial" w:eastAsia="Arial" w:cs="Arial"/>
          <w:sz w:val="22"/>
          <w:szCs w:val="22"/>
        </w:rPr>
        <w:widowControl/>
        <w:spacing w:before="0" w:after="40" w:line="240" w:lineRule="auto"/>
      </w:pPr>
      <w:r>
        <w:rPr>
          <w:b/>
          <w:i w:val="0"/>
          <w:rFonts w:ascii="Arial" w:hAnsi="Arial" w:eastAsia="Arial" w:cs="Arial"/>
          <w:sz w:val="22"/>
          <w:szCs w:val="22"/>
        </w:rPr>
        <w:t>Part 2b translates RRP-indexed operational distinction into knowledge as retained distinction, intelligence as applied distinction, and observation as bounded registration, then develops observation as abstraction-bound, scale-bound, and operationally bounded through perspective, correction, scalar alignment, measurement, and a diagnostic performance envelope.</w:t>
      </w:r>
    </w:p>
    <w:p>
      <w:pPr>
        <w:rPr>
          <w:rFonts w:ascii="Arial" w:hAnsi="Arial" w:eastAsia="Arial" w:cs="Arial"/>
          <w:sz w:val="30"/>
          <w:szCs w:val="30"/>
          <w:b w:val="1"/>
          <w:color w:val="1F4E79"/>
        </w:rPr>
        <w:widowControl/>
        <w:spacing w:before="60" w:after="40" w:line="240" w:lineRule="auto"/>
        <w:pStyle w:val="Heading1"/>
        <w:keepNext/>
        <w:keepLines/>
      </w:pPr>
      <w:r>
        <w:rPr>
          <w:i w:val="0"/>
          <w:rFonts w:ascii="Arial" w:hAnsi="Arial" w:eastAsia="Arial" w:cs="Arial"/>
          <w:sz w:val="30"/>
          <w:szCs w:val="30"/>
          <w:b w:val="1"/>
          <w:color w:val="1F4E79"/>
        </w:rPr>
        <w:t>2. Core compression</w:t>
      </w:r>
    </w:p>
    <w:p>
      <w:pPr>
        <w:rPr>
          <w:rFonts w:ascii="Arial" w:hAnsi="Arial" w:eastAsia="Arial" w:cs="Arial"/>
          <w:sz w:val="22"/>
          <w:szCs w:val="22"/>
        </w:rPr>
        <w:widowControl/>
        <w:spacing w:before="0" w:after="40" w:line="240" w:lineRule="auto"/>
      </w:pPr>
      <w:r>
        <w:rPr>
          <w:b w:val="0"/>
          <w:i w:val="0"/>
          <w:rFonts w:ascii="Arial" w:hAnsi="Arial" w:eastAsia="Arial" w:cs="Arial"/>
          <w:sz w:val="22"/>
          <w:szCs w:val="22"/>
        </w:rPr>
        <w:t xml:space="preserve">Part 2b begins after informational availability has been established. Part 2a supplies RRP, OP, OA, OR, RAS, RSD, the signal pathway, local locus discipline, and reference-indexed realism. Part 2b asks what status distinction acquires when it is retained, applied, registered as record, abstracted through perspective, stabilised into scale, and sustained as an observation program. Paper 1c supplies physical and derived relations without changing downstream status thresholds. Papers 2, 4a and 4c now cite it locally to distinguish formation from grounded deployability, ingress and reliable performance respectively.</w:t>
      </w:r>
    </w:p>
    <w:p>
      <w:pPr>
        <w:rPr>
          <w:rFonts w:ascii="Arial" w:hAnsi="Arial" w:eastAsia="Arial" w:cs="Arial"/>
          <w:sz w:val="22"/>
          <w:szCs w:val="22"/>
        </w:rPr>
        <w:widowControl/>
        <w:spacing w:before="0" w:after="40" w:line="240" w:lineRule="auto"/>
      </w:pPr>
      <w:r>
        <w:rPr>
          <w:b w:val="0"/>
          <w:i w:val="0"/>
          <w:rFonts w:ascii="Arial" w:hAnsi="Arial" w:eastAsia="Arial" w:cs="Arial"/>
          <w:sz w:val="22"/>
          <w:szCs w:val="22"/>
        </w:rPr>
        <w:t>Paper 2 defines knowledge as retained distinction. Minimal knowledge begins when a prior OP-supported, OA-classed alternative has been registered through OR and retained as an RAS that remains present and re-identifiable over the operational horizon at the reference scale. TK is record-presence. KIP is grounded deployability. NTK is realised deployment. These are record statuses, not automatic truth, warrant, objectivity, or justification.</w:t>
      </w:r>
    </w:p>
    <w:p>
      <w:pPr>
        <w:rPr>
          <w:rFonts w:ascii="Arial" w:hAnsi="Arial" w:eastAsia="Arial" w:cs="Arial"/>
          <w:sz w:val="22"/>
          <w:szCs w:val="22"/>
        </w:rPr>
        <w:widowControl/>
        <w:spacing w:before="0" w:after="40" w:line="240" w:lineRule="auto"/>
      </w:pPr>
      <w:r>
        <w:rPr>
          <w:b w:val="0"/>
          <w:i w:val="0"/>
          <w:rFonts w:ascii="Arial" w:hAnsi="Arial" w:eastAsia="Arial" w:cs="Arial"/>
          <w:sz w:val="22"/>
          <w:szCs w:val="22"/>
        </w:rPr>
        <w:t>Paper 3 defines intelligence as applied distinction. Intelligence occurs when distinction-conditioned organisation alters downstream trajectory selection for a locus under specified reference conditions. It is broader than cognition and narrower than usefulness. Passive information is found distinction. Active information is made distinction whose provenance is fixed by the producing locus. Passive intelligence is made distinction reused. Active intelligence is distinction currently applied. NTI is NTC under the intelligence facet.</w:t>
      </w:r>
    </w:p>
    <w:p>
      <w:pPr>
        <w:rPr>
          <w:rFonts w:ascii="Arial" w:hAnsi="Arial" w:eastAsia="Arial" w:cs="Arial"/>
          <w:sz w:val="22"/>
          <w:szCs w:val="22"/>
        </w:rPr>
        <w:widowControl/>
        <w:spacing w:before="0" w:after="40" w:line="240" w:lineRule="auto"/>
      </w:pPr>
      <w:r>
        <w:rPr>
          <w:b w:val="0"/>
          <w:i w:val="0"/>
          <w:rFonts w:ascii="Arial" w:hAnsi="Arial" w:eastAsia="Arial" w:cs="Arial"/>
          <w:sz w:val="22"/>
          <w:szCs w:val="22"/>
        </w:rPr>
        <w:t>Paper 4 defines observation as bounded registration. The observation event is OR. The observation record is RAS. Strong observation requires RSD. Pre-TO is below persistent record-presence; TO is record-presence; OIP is grounded deployability and supports observer-locus status; NTO is realised record-operativity and supports capitalised Observer status. Observation establishes record-provenance, not automatic warrant.</w:t>
      </w:r>
    </w:p>
    <w:p>
      <w:pPr>
        <w:rPr>
          <w:rFonts w:ascii="Arial" w:hAnsi="Arial" w:eastAsia="Arial" w:cs="Arial"/>
          <w:sz w:val="22"/>
          <w:szCs w:val="22"/>
        </w:rPr>
        <w:widowControl/>
        <w:spacing w:before="0" w:after="40" w:line="240" w:lineRule="auto"/>
      </w:pPr>
      <w:r>
        <w:rPr>
          <w:b w:val="0"/>
          <w:i w:val="0"/>
          <w:rFonts w:ascii="Arial" w:hAnsi="Arial" w:eastAsia="Arial" w:cs="Arial"/>
          <w:sz w:val="22"/>
          <w:szCs w:val="22"/>
        </w:rPr>
        <w:t>Paper 4a develops the abstraction consequence. Every observation requires OA before OR and is therefore abstraction-bound. A cut makes selected difference registerable. An abstraction regime stabilises cuts into repeatable conditions. A perspective integrates an abstraction regime and its event-horizon profile for a locus. Abstraction Gap is the discrepancy between a registration or perspective and the fuller relation it compresses. Objectivity is disciplined correction of perspective under constraint.</w:t>
      </w:r>
    </w:p>
    <w:p>
      <w:pPr>
        <w:rPr>
          <w:rFonts w:ascii="Arial" w:hAnsi="Arial" w:eastAsia="Arial" w:cs="Arial"/>
          <w:sz w:val="22"/>
          <w:szCs w:val="22"/>
        </w:rPr>
        <w:widowControl/>
        <w:spacing w:before="0" w:after="40" w:line="240" w:lineRule="auto"/>
      </w:pPr>
      <w:r>
        <w:rPr>
          <w:b w:val="0"/>
          <w:i w:val="0"/>
          <w:rFonts w:ascii="Arial" w:hAnsi="Arial" w:eastAsia="Arial" w:cs="Arial"/>
          <w:sz w:val="22"/>
          <w:szCs w:val="22"/>
        </w:rPr>
        <w:t>Paper 4b develops the scalar consequence. Perspective fixes scale because it fixes comparability. Physical magnitude is reality-constrained. Reference scale is the scale stated by a claim. Operative scale is the scale actually stabilised by a locus. Measurement is real relation registered through scale. Scale Gap is Abstraction Gap under scalar misfit. Scalar objectivity requires explicit scale, alignment, comparator pressure, and residual discipline.</w:t>
      </w:r>
    </w:p>
    <w:p>
      <w:pPr>
        <w:rPr>
          <w:rFonts w:ascii="Arial" w:hAnsi="Arial" w:eastAsia="Arial" w:cs="Arial"/>
          <w:sz w:val="22"/>
          <w:szCs w:val="22"/>
        </w:rPr>
        <w:widowControl/>
        <w:spacing w:before="0" w:after="40" w:line="240" w:lineRule="auto"/>
      </w:pPr>
      <w:r>
        <w:rPr>
          <w:b w:val="0"/>
          <w:i w:val="0"/>
          <w:rFonts w:ascii="Arial" w:hAnsi="Arial" w:eastAsia="Arial" w:cs="Arial"/>
          <w:sz w:val="22"/>
          <w:szCs w:val="22"/>
        </w:rPr>
        <w:t>Paper 4c defines the operational envelope of observation programs. Status comes first and descriptor grading second. OH measures reliable reach; CH admissible intervention range; RF OA-to-RAS reliability; OBW registration throughput; OD realised consult-and-register depth; OG downstream differentiation; ODr degradation; OL sustaining cost; and OCx regime-level loss of content-driven registration or redeployment. The descriptor layer localises performance and failure without adding new primitives or supplying the later full discipline of the unknown.</w:t>
      </w:r>
    </w:p>
    <w:p>
      <w:pPr>
        <w:rPr>
          <w:rFonts w:ascii="Arial" w:hAnsi="Arial" w:eastAsia="Arial" w:cs="Arial"/>
          <w:sz w:val="30"/>
          <w:szCs w:val="30"/>
          <w:b w:val="1"/>
          <w:color w:val="1F4E79"/>
        </w:rPr>
        <w:widowControl/>
        <w:spacing w:before="60" w:after="40" w:line="240" w:lineRule="auto"/>
        <w:pStyle w:val="Heading1"/>
        <w:keepNext/>
        <w:keepLines/>
      </w:pPr>
      <w:r>
        <w:rPr>
          <w:i w:val="0"/>
          <w:rFonts w:ascii="Arial" w:hAnsi="Arial" w:eastAsia="Arial" w:cs="Arial"/>
          <w:sz w:val="30"/>
          <w:szCs w:val="30"/>
          <w:b w:val="1"/>
          <w:color w:val="1F4E79"/>
        </w:rPr>
        <w:t>3. Exportable compression-map schema</w:t>
      </w:r>
    </w:p>
    <w:tbl>
      <w:tblPr>
        <w:tblStyle w:val="TableGrid"/>
        <w:tblW w:type="dxa" w:w="14544"/>
        <w:jc w:val="center"/>
        <w:tblLayout w:type="fixed"/>
        <w:tblLook w:firstColumn="1" w:firstRow="1" w:lastColumn="0" w:lastRow="0" w:noHBand="0" w:noVBand="1" w:val="04A0"/>
        <w:tblBorders>
          <w:top w:val="single" w:sz="4" w:color="7F7F7F"/>
          <w:left w:val="single" w:sz="4" w:color="7F7F7F"/>
          <w:bottom w:val="single" w:sz="4" w:color="7F7F7F"/>
          <w:right w:val="single" w:sz="4" w:color="7F7F7F"/>
          <w:insideH w:val="single" w:sz="4" w:color="7F7F7F"/>
          <w:insideV w:val="single" w:sz="4" w:color="7F7F7F"/>
        </w:tblBorders>
      </w:tblPr>
      <w:tblGrid>
        <w:gridCol w:w="943"/>
        <w:gridCol w:w="3097"/>
        <w:gridCol w:w="4175"/>
        <w:gridCol w:w="6329"/>
      </w:tblGrid>
      <w:tr>
        <w:trPr>
          <w:cantSplit/>
          <w:tblHeader w:val="1"/>
        </w:trPr>
        <w:tc>
          <w:tcPr>
            <w:tcW w:type="dxa" w:w="943"/>
            <w:vAlign w:val="center"/>
            <w:shd w:fill="D9EAF7" w:val="clear"/>
            <w:tcMar>
              <w:top w:w="45" w:type="dxa"/>
              <w:start w:w="55" w:type="dxa"/>
              <w:bottom w:w="45" w:type="dxa"/>
              <w:end w:w="55" w:type="dxa"/>
            </w:tcMar>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pPr>
            <w:r>
              <w:rPr>
                <w:i w:val="0"/>
                <w:rFonts w:ascii="Arial" w:hAnsi="Arial" w:eastAsia="Arial" w:cs="Arial"/>
                <w:sz w:val="20"/>
                <w:szCs w:val="20"/>
                <w:b/>
              </w:rPr>
              <w:t>Section ID</w:t>
            </w:r>
          </w:p>
        </w:tc>
        <w:tc>
          <w:tcPr>
            <w:tcW w:type="dxa" w:w="3097"/>
            <w:vAlign w:val="center"/>
            <w:shd w:fill="D9EAF7" w:val="clear"/>
            <w:tcMar>
              <w:top w:w="45" w:type="dxa"/>
              <w:start w:w="55" w:type="dxa"/>
              <w:bottom w:w="45" w:type="dxa"/>
              <w:end w:w="55" w:type="dxa"/>
            </w:tcMar>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pPr>
            <w:r>
              <w:rPr>
                <w:i w:val="0"/>
                <w:rFonts w:ascii="Arial" w:hAnsi="Arial" w:eastAsia="Arial" w:cs="Arial"/>
                <w:sz w:val="20"/>
                <w:szCs w:val="20"/>
                <w:b/>
              </w:rPr>
              <w:t>Required section</w:t>
            </w:r>
          </w:p>
        </w:tc>
        <w:tc>
          <w:tcPr>
            <w:tcW w:type="dxa" w:w="4175"/>
            <w:vAlign w:val="center"/>
            <w:shd w:fill="D9EAF7" w:val="clear"/>
            <w:tcMar>
              <w:top w:w="45" w:type="dxa"/>
              <w:start w:w="55" w:type="dxa"/>
              <w:bottom w:w="45" w:type="dxa"/>
              <w:end w:w="55" w:type="dxa"/>
            </w:tcMar>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pPr>
            <w:r>
              <w:rPr>
                <w:i w:val="0"/>
                <w:rFonts w:ascii="Arial" w:hAnsi="Arial" w:eastAsia="Arial" w:cs="Arial"/>
                <w:sz w:val="20"/>
                <w:szCs w:val="20"/>
                <w:b/>
              </w:rPr>
              <w:t>Function</w:t>
            </w:r>
          </w:p>
        </w:tc>
        <w:tc>
          <w:tcPr>
            <w:tcW w:type="dxa" w:w="6329"/>
            <w:vAlign w:val="center"/>
            <w:shd w:fill="D9EAF7" w:val="clear"/>
            <w:tcMar>
              <w:top w:w="45" w:type="dxa"/>
              <w:start w:w="55" w:type="dxa"/>
              <w:bottom w:w="45" w:type="dxa"/>
              <w:end w:w="55" w:type="dxa"/>
            </w:tcMar>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pPr>
            <w:r>
              <w:rPr>
                <w:i w:val="0"/>
                <w:rFonts w:ascii="Arial" w:hAnsi="Arial" w:eastAsia="Arial" w:cs="Arial"/>
                <w:sz w:val="20"/>
                <w:szCs w:val="20"/>
                <w:b/>
              </w:rPr>
              <w:t>Issue 1 instruction</w:t>
            </w:r>
          </w:p>
        </w:tc>
      </w:tr>
      <w:tr>
        <w:trPr>
          <w:cantSplit/>
        </w:trPr>
        <w:tc>
          <w:tcPr>
            <w:tcW w:type="dxa" w:w="943"/>
            <w:vAlign w:val="top"/>
            <w:tcMar>
              <w:top w:w="45" w:type="dxa"/>
              <w:start w:w="55" w:type="dxa"/>
              <w:bottom w:w="45" w:type="dxa"/>
              <w:end w:w="55" w:type="dxa"/>
            </w:tcMar>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line="240" w:lineRule="auto"/>
            </w:pPr>
            <w:r>
              <w:rPr>
                <w:b w:val="0"/>
                <w:i w:val="0"/>
                <w:rFonts w:ascii="Arial" w:hAnsi="Arial" w:eastAsia="Arial" w:cs="Arial"/>
                <w:sz w:val="20"/>
                <w:szCs w:val="20"/>
              </w:rPr>
              <w:t>0</w:t>
            </w:r>
          </w:p>
        </w:tc>
        <w:tc>
          <w:tcPr>
            <w:tcW w:type="dxa" w:w="3097"/>
            <w:vAlign w:val="top"/>
            <w:tcMar>
              <w:top w:w="45" w:type="dxa"/>
              <w:start w:w="55" w:type="dxa"/>
              <w:bottom w:w="45" w:type="dxa"/>
              <w:end w:w="55" w:type="dxa"/>
            </w:tcMar>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line="240" w:lineRule="auto"/>
            </w:pPr>
            <w:r>
              <w:rPr>
                <w:b w:val="0"/>
                <w:i w:val="0"/>
                <w:rFonts w:ascii="Arial" w:hAnsi="Arial" w:eastAsia="Arial" w:cs="Arial"/>
                <w:sz w:val="20"/>
                <w:szCs w:val="20"/>
              </w:rPr>
              <w:t>Status, function, and source discipline</w:t>
            </w:r>
          </w:p>
        </w:tc>
        <w:tc>
          <w:tcPr>
            <w:tcW w:type="dxa" w:w="4175"/>
            <w:vAlign w:val="top"/>
            <w:tcMar>
              <w:top w:w="45" w:type="dxa"/>
              <w:start w:w="55" w:type="dxa"/>
              <w:bottom w:w="45" w:type="dxa"/>
              <w:end w:w="55" w:type="dxa"/>
            </w:tcMar>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line="240" w:lineRule="auto"/>
            </w:pPr>
            <w:r>
              <w:rPr>
                <w:b w:val="0"/>
                <w:i w:val="0"/>
                <w:rFonts w:ascii="Arial" w:hAnsi="Arial" w:eastAsia="Arial" w:cs="Arial"/>
                <w:sz w:val="20"/>
                <w:szCs w:val="20"/>
              </w:rPr>
              <w:t>States document type, source lock, six-paper scope, canonical rule, and template rule.</w:t>
            </w:r>
          </w:p>
        </w:tc>
        <w:tc>
          <w:tcPr>
            <w:tcW w:type="dxa" w:w="6329"/>
            <w:vAlign w:val="top"/>
            <w:tcMar>
              <w:top w:w="45" w:type="dxa"/>
              <w:start w:w="55" w:type="dxa"/>
              <w:bottom w:w="45" w:type="dxa"/>
              <w:end w:w="55" w:type="dxa"/>
            </w:tcMar>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line="240" w:lineRule="auto"/>
            </w:pPr>
            <w:r>
              <w:rPr>
                <w:b w:val="0"/>
                <w:i w:val="0"/>
                <w:rFonts w:ascii="Arial" w:hAnsi="Arial" w:eastAsia="Arial" w:cs="Arial"/>
                <w:sz w:val="20"/>
                <w:szCs w:val="20"/>
              </w:rPr>
              <w:t>Lock conceptual content to Papers 2, 3, 4, 4a, 4b, and 4c; use upstream support only as inherited control.</w:t>
            </w:r>
          </w:p>
        </w:tc>
      </w:tr>
      <w:tr>
        <w:trPr>
          <w:cantSplit/>
        </w:trPr>
        <w:tc>
          <w:tcPr>
            <w:tcW w:type="dxa" w:w="943"/>
            <w:vAlign w:val="top"/>
            <w:tcMar>
              <w:top w:w="45" w:type="dxa"/>
              <w:start w:w="55" w:type="dxa"/>
              <w:bottom w:w="45" w:type="dxa"/>
              <w:end w:w="55" w:type="dxa"/>
            </w:tcMar>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line="240" w:lineRule="auto"/>
            </w:pPr>
            <w:r>
              <w:rPr>
                <w:b w:val="0"/>
                <w:i w:val="0"/>
                <w:rFonts w:ascii="Arial" w:hAnsi="Arial" w:eastAsia="Arial" w:cs="Arial"/>
                <w:sz w:val="20"/>
                <w:szCs w:val="20"/>
              </w:rPr>
              <w:t>1</w:t>
            </w:r>
          </w:p>
        </w:tc>
        <w:tc>
          <w:tcPr>
            <w:tcW w:type="dxa" w:w="3097"/>
            <w:vAlign w:val="top"/>
            <w:tcMar>
              <w:top w:w="45" w:type="dxa"/>
              <w:start w:w="55" w:type="dxa"/>
              <w:bottom w:w="45" w:type="dxa"/>
              <w:end w:w="55" w:type="dxa"/>
            </w:tcMar>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line="240" w:lineRule="auto"/>
            </w:pPr>
            <w:r>
              <w:rPr>
                <w:b w:val="0"/>
                <w:i w:val="0"/>
                <w:rFonts w:ascii="Arial" w:hAnsi="Arial" w:eastAsia="Arial" w:cs="Arial"/>
                <w:sz w:val="20"/>
                <w:szCs w:val="20"/>
              </w:rPr>
              <w:t>Part compression in one sentence</w:t>
            </w:r>
          </w:p>
        </w:tc>
        <w:tc>
          <w:tcPr>
            <w:tcW w:type="dxa" w:w="4175"/>
            <w:vAlign w:val="top"/>
            <w:tcMar>
              <w:top w:w="45" w:type="dxa"/>
              <w:start w:w="55" w:type="dxa"/>
              <w:bottom w:w="45" w:type="dxa"/>
              <w:end w:w="55" w:type="dxa"/>
            </w:tcMar>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line="240" w:lineRule="auto"/>
            </w:pPr>
            <w:r>
              <w:rPr>
                <w:b w:val="0"/>
                <w:i w:val="0"/>
                <w:rFonts w:ascii="Arial" w:hAnsi="Arial" w:eastAsia="Arial" w:cs="Arial"/>
                <w:sz w:val="20"/>
                <w:szCs w:val="20"/>
              </w:rPr>
              <w:t>Compresses the Part into one controlled sentence.</w:t>
            </w:r>
          </w:p>
        </w:tc>
        <w:tc>
          <w:tcPr>
            <w:tcW w:type="dxa" w:w="6329"/>
            <w:vAlign w:val="top"/>
            <w:tcMar>
              <w:top w:w="45" w:type="dxa"/>
              <w:start w:w="55" w:type="dxa"/>
              <w:bottom w:w="45" w:type="dxa"/>
              <w:end w:w="55" w:type="dxa"/>
            </w:tcMar>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line="240" w:lineRule="auto"/>
            </w:pPr>
            <w:r>
              <w:rPr>
                <w:b w:val="0"/>
                <w:i w:val="0"/>
                <w:rFonts w:ascii="Arial" w:hAnsi="Arial" w:eastAsia="Arial" w:cs="Arial"/>
                <w:sz w:val="20"/>
                <w:szCs w:val="20"/>
              </w:rPr>
              <w:t>Include retention, application, bounded registration, abstraction, scale, and operational envelope.</w:t>
            </w:r>
          </w:p>
        </w:tc>
      </w:tr>
      <w:tr>
        <w:trPr>
          <w:cantSplit/>
        </w:trPr>
        <w:tc>
          <w:tcPr>
            <w:tcW w:type="dxa" w:w="943"/>
            <w:vAlign w:val="top"/>
            <w:tcMar>
              <w:top w:w="45" w:type="dxa"/>
              <w:start w:w="55" w:type="dxa"/>
              <w:bottom w:w="45" w:type="dxa"/>
              <w:end w:w="55" w:type="dxa"/>
            </w:tcMar>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line="240" w:lineRule="auto"/>
            </w:pPr>
            <w:r>
              <w:rPr>
                <w:b w:val="0"/>
                <w:i w:val="0"/>
                <w:rFonts w:ascii="Arial" w:hAnsi="Arial" w:eastAsia="Arial" w:cs="Arial"/>
                <w:sz w:val="20"/>
                <w:szCs w:val="20"/>
              </w:rPr>
              <w:t>2</w:t>
            </w:r>
          </w:p>
        </w:tc>
        <w:tc>
          <w:tcPr>
            <w:tcW w:type="dxa" w:w="3097"/>
            <w:vAlign w:val="top"/>
            <w:tcMar>
              <w:top w:w="45" w:type="dxa"/>
              <w:start w:w="55" w:type="dxa"/>
              <w:bottom w:w="45" w:type="dxa"/>
              <w:end w:w="55" w:type="dxa"/>
            </w:tcMar>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line="240" w:lineRule="auto"/>
            </w:pPr>
            <w:r>
              <w:rPr>
                <w:b w:val="0"/>
                <w:i w:val="0"/>
                <w:rFonts w:ascii="Arial" w:hAnsi="Arial" w:eastAsia="Arial" w:cs="Arial"/>
                <w:sz w:val="20"/>
                <w:szCs w:val="20"/>
              </w:rPr>
              <w:t>Core compression</w:t>
            </w:r>
          </w:p>
        </w:tc>
        <w:tc>
          <w:tcPr>
            <w:tcW w:type="dxa" w:w="4175"/>
            <w:vAlign w:val="top"/>
            <w:tcMar>
              <w:top w:w="45" w:type="dxa"/>
              <w:start w:w="55" w:type="dxa"/>
              <w:bottom w:w="45" w:type="dxa"/>
              <w:end w:w="55" w:type="dxa"/>
            </w:tcMar>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line="240" w:lineRule="auto"/>
            </w:pPr>
            <w:r>
              <w:rPr>
                <w:b w:val="0"/>
                <w:i w:val="0"/>
                <w:rFonts w:ascii="Arial" w:hAnsi="Arial" w:eastAsia="Arial" w:cs="Arial"/>
                <w:sz w:val="20"/>
                <w:szCs w:val="20"/>
              </w:rPr>
              <w:t>States the central architectural movement.</w:t>
            </w:r>
          </w:p>
        </w:tc>
        <w:tc>
          <w:tcPr>
            <w:tcW w:type="dxa" w:w="6329"/>
            <w:vAlign w:val="top"/>
            <w:tcMar>
              <w:top w:w="45" w:type="dxa"/>
              <w:start w:w="55" w:type="dxa"/>
              <w:bottom w:w="45" w:type="dxa"/>
              <w:end w:w="55" w:type="dxa"/>
            </w:tcMar>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line="240" w:lineRule="auto"/>
            </w:pPr>
            <w:r>
              <w:rPr>
                <w:b w:val="0"/>
                <w:i w:val="0"/>
                <w:rFonts w:ascii="Arial" w:hAnsi="Arial" w:eastAsia="Arial" w:cs="Arial"/>
                <w:sz w:val="20"/>
                <w:szCs w:val="20"/>
              </w:rPr>
              <w:t>Keep the shared RRP relay visible while preserving facet-specific thresholds and extension consequences.</w:t>
            </w:r>
          </w:p>
        </w:tc>
      </w:tr>
      <w:tr>
        <w:trPr>
          <w:cantSplit/>
        </w:trPr>
        <w:tc>
          <w:tcPr>
            <w:tcW w:type="dxa" w:w="943"/>
            <w:vAlign w:val="top"/>
            <w:tcMar>
              <w:top w:w="45" w:type="dxa"/>
              <w:start w:w="55" w:type="dxa"/>
              <w:bottom w:w="45" w:type="dxa"/>
              <w:end w:w="55" w:type="dxa"/>
            </w:tcMar>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line="240" w:lineRule="auto"/>
            </w:pPr>
            <w:r>
              <w:rPr>
                <w:b w:val="0"/>
                <w:i w:val="0"/>
                <w:rFonts w:ascii="Arial" w:hAnsi="Arial" w:eastAsia="Arial" w:cs="Arial"/>
                <w:sz w:val="20"/>
                <w:szCs w:val="20"/>
              </w:rPr>
              <w:t>3</w:t>
            </w:r>
          </w:p>
        </w:tc>
        <w:tc>
          <w:tcPr>
            <w:tcW w:type="dxa" w:w="3097"/>
            <w:vAlign w:val="top"/>
            <w:tcMar>
              <w:top w:w="45" w:type="dxa"/>
              <w:start w:w="55" w:type="dxa"/>
              <w:bottom w:w="45" w:type="dxa"/>
              <w:end w:w="55" w:type="dxa"/>
            </w:tcMar>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line="240" w:lineRule="auto"/>
            </w:pPr>
            <w:r>
              <w:rPr>
                <w:b w:val="0"/>
                <w:i w:val="0"/>
                <w:rFonts w:ascii="Arial" w:hAnsi="Arial" w:eastAsia="Arial" w:cs="Arial"/>
                <w:sz w:val="20"/>
                <w:szCs w:val="20"/>
              </w:rPr>
              <w:t>Exportable schema</w:t>
            </w:r>
          </w:p>
        </w:tc>
        <w:tc>
          <w:tcPr>
            <w:tcW w:type="dxa" w:w="4175"/>
            <w:vAlign w:val="top"/>
            <w:tcMar>
              <w:top w:w="45" w:type="dxa"/>
              <w:start w:w="55" w:type="dxa"/>
              <w:bottom w:w="45" w:type="dxa"/>
              <w:end w:w="55" w:type="dxa"/>
            </w:tcMar>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line="240" w:lineRule="auto"/>
            </w:pPr>
            <w:r>
              <w:rPr>
                <w:b w:val="0"/>
                <w:i w:val="0"/>
                <w:rFonts w:ascii="Arial" w:hAnsi="Arial" w:eastAsia="Arial" w:cs="Arial"/>
                <w:sz w:val="20"/>
                <w:szCs w:val="20"/>
              </w:rPr>
              <w:t>Records reusable support-document structure.</w:t>
            </w:r>
          </w:p>
        </w:tc>
        <w:tc>
          <w:tcPr>
            <w:tcW w:type="dxa" w:w="6329"/>
            <w:vAlign w:val="top"/>
            <w:tcMar>
              <w:top w:w="45" w:type="dxa"/>
              <w:start w:w="55" w:type="dxa"/>
              <w:bottom w:w="45" w:type="dxa"/>
              <w:end w:w="55" w:type="dxa"/>
            </w:tcMar>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line="240" w:lineRule="auto"/>
            </w:pPr>
            <w:r>
              <w:rPr>
                <w:b w:val="0"/>
                <w:i w:val="0"/>
                <w:rFonts w:ascii="Arial" w:hAnsi="Arial" w:eastAsia="Arial" w:cs="Arial"/>
                <w:sz w:val="20"/>
                <w:szCs w:val="20"/>
              </w:rPr>
              <w:t>Retain for continuity with Part 1 and internal Part 2a support sections.</w:t>
            </w:r>
          </w:p>
        </w:tc>
      </w:tr>
      <w:tr>
        <w:trPr>
          <w:cantSplit/>
        </w:trPr>
        <w:tc>
          <w:tcPr>
            <w:tcW w:type="dxa" w:w="943"/>
            <w:vAlign w:val="top"/>
            <w:tcMar>
              <w:top w:w="45" w:type="dxa"/>
              <w:start w:w="55" w:type="dxa"/>
              <w:bottom w:w="45" w:type="dxa"/>
              <w:end w:w="55" w:type="dxa"/>
            </w:tcMar>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line="240" w:lineRule="auto"/>
            </w:pPr>
            <w:r>
              <w:rPr>
                <w:b w:val="0"/>
                <w:i w:val="0"/>
                <w:rFonts w:ascii="Arial" w:hAnsi="Arial" w:eastAsia="Arial" w:cs="Arial"/>
                <w:sz w:val="20"/>
                <w:szCs w:val="20"/>
              </w:rPr>
              <w:t>4</w:t>
            </w:r>
          </w:p>
        </w:tc>
        <w:tc>
          <w:tcPr>
            <w:tcW w:type="dxa" w:w="3097"/>
            <w:vAlign w:val="top"/>
            <w:tcMar>
              <w:top w:w="45" w:type="dxa"/>
              <w:start w:w="55" w:type="dxa"/>
              <w:bottom w:w="45" w:type="dxa"/>
              <w:end w:w="55" w:type="dxa"/>
            </w:tcMar>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line="240" w:lineRule="auto"/>
            </w:pPr>
            <w:r>
              <w:rPr>
                <w:b w:val="0"/>
                <w:i w:val="0"/>
                <w:rFonts w:ascii="Arial" w:hAnsi="Arial" w:eastAsia="Arial" w:cs="Arial"/>
                <w:sz w:val="20"/>
                <w:szCs w:val="20"/>
              </w:rPr>
              <w:t>Primary sequence and ownership map</w:t>
            </w:r>
          </w:p>
        </w:tc>
        <w:tc>
          <w:tcPr>
            <w:tcW w:type="dxa" w:w="4175"/>
            <w:vAlign w:val="top"/>
            <w:tcMar>
              <w:top w:w="45" w:type="dxa"/>
              <w:start w:w="55" w:type="dxa"/>
              <w:bottom w:w="45" w:type="dxa"/>
              <w:end w:w="55" w:type="dxa"/>
            </w:tcMar>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line="240" w:lineRule="auto"/>
            </w:pPr>
            <w:r>
              <w:rPr>
                <w:b w:val="0"/>
                <w:i w:val="0"/>
                <w:rFonts w:ascii="Arial" w:hAnsi="Arial" w:eastAsia="Arial" w:cs="Arial"/>
                <w:sz w:val="20"/>
                <w:szCs w:val="20"/>
              </w:rPr>
              <w:t>Fixes canonical order and ownership.</w:t>
            </w:r>
          </w:p>
        </w:tc>
        <w:tc>
          <w:tcPr>
            <w:tcW w:type="dxa" w:w="6329"/>
            <w:vAlign w:val="top"/>
            <w:tcMar>
              <w:top w:w="45" w:type="dxa"/>
              <w:start w:w="55" w:type="dxa"/>
              <w:bottom w:w="45" w:type="dxa"/>
              <w:end w:w="55" w:type="dxa"/>
            </w:tcMar>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line="240" w:lineRule="auto"/>
            </w:pPr>
            <w:r>
              <w:rPr>
                <w:b w:val="0"/>
                <w:i w:val="0"/>
                <w:rFonts w:ascii="Arial" w:hAnsi="Arial" w:eastAsia="Arial" w:cs="Arial"/>
                <w:sz w:val="20"/>
                <w:szCs w:val="20"/>
              </w:rPr>
              <w:t>Use all six current Part 2b source papers.</w:t>
            </w:r>
          </w:p>
        </w:tc>
      </w:tr>
      <w:tr>
        <w:trPr>
          <w:cantSplit/>
        </w:trPr>
        <w:tc>
          <w:tcPr>
            <w:tcW w:type="dxa" w:w="943"/>
            <w:vAlign w:val="top"/>
            <w:tcMar>
              <w:top w:w="45" w:type="dxa"/>
              <w:start w:w="55" w:type="dxa"/>
              <w:bottom w:w="45" w:type="dxa"/>
              <w:end w:w="55" w:type="dxa"/>
            </w:tcMar>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line="240" w:lineRule="auto"/>
            </w:pPr>
            <w:r>
              <w:rPr>
                <w:b w:val="0"/>
                <w:i w:val="0"/>
                <w:rFonts w:ascii="Arial" w:hAnsi="Arial" w:eastAsia="Arial" w:cs="Arial"/>
                <w:sz w:val="20"/>
                <w:szCs w:val="20"/>
              </w:rPr>
              <w:t>5</w:t>
            </w:r>
          </w:p>
        </w:tc>
        <w:tc>
          <w:tcPr>
            <w:tcW w:type="dxa" w:w="3097"/>
            <w:vAlign w:val="top"/>
            <w:tcMar>
              <w:top w:w="45" w:type="dxa"/>
              <w:start w:w="55" w:type="dxa"/>
              <w:bottom w:w="45" w:type="dxa"/>
              <w:end w:w="55" w:type="dxa"/>
            </w:tcMar>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line="240" w:lineRule="auto"/>
            </w:pPr>
            <w:r>
              <w:rPr>
                <w:b w:val="0"/>
                <w:i w:val="0"/>
                <w:rFonts w:ascii="Arial" w:hAnsi="Arial" w:eastAsia="Arial" w:cs="Arial"/>
                <w:sz w:val="20"/>
                <w:szCs w:val="20"/>
              </w:rPr>
              <w:t>Concept stack</w:t>
            </w:r>
          </w:p>
        </w:tc>
        <w:tc>
          <w:tcPr>
            <w:tcW w:type="dxa" w:w="4175"/>
            <w:vAlign w:val="top"/>
            <w:tcMar>
              <w:top w:w="45" w:type="dxa"/>
              <w:start w:w="55" w:type="dxa"/>
              <w:bottom w:w="45" w:type="dxa"/>
              <w:end w:w="55" w:type="dxa"/>
            </w:tcMar>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line="240" w:lineRule="auto"/>
            </w:pPr>
            <w:r>
              <w:rPr>
                <w:b w:val="0"/>
                <w:i w:val="0"/>
                <w:rFonts w:ascii="Arial" w:hAnsi="Arial" w:eastAsia="Arial" w:cs="Arial"/>
                <w:sz w:val="20"/>
                <w:szCs w:val="20"/>
              </w:rPr>
              <w:t>Shows the layered architecture.</w:t>
            </w:r>
          </w:p>
        </w:tc>
        <w:tc>
          <w:tcPr>
            <w:tcW w:type="dxa" w:w="6329"/>
            <w:vAlign w:val="top"/>
            <w:tcMar>
              <w:top w:w="45" w:type="dxa"/>
              <w:start w:w="55" w:type="dxa"/>
              <w:bottom w:w="45" w:type="dxa"/>
              <w:end w:w="55" w:type="dxa"/>
            </w:tcMar>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line="240" w:lineRule="auto"/>
            </w:pPr>
            <w:r>
              <w:rPr>
                <w:b w:val="0"/>
                <w:i w:val="0"/>
                <w:rFonts w:ascii="Arial" w:hAnsi="Arial" w:eastAsia="Arial" w:cs="Arial"/>
                <w:sz w:val="20"/>
                <w:szCs w:val="20"/>
              </w:rPr>
              <w:t>Move from inherited distinction through retention, application, registration, abstraction, scale, and program envelope.</w:t>
            </w:r>
          </w:p>
        </w:tc>
      </w:tr>
      <w:tr>
        <w:trPr>
          <w:cantSplit/>
        </w:trPr>
        <w:tc>
          <w:tcPr>
            <w:tcW w:type="dxa" w:w="943"/>
            <w:vAlign w:val="top"/>
            <w:tcMar>
              <w:top w:w="45" w:type="dxa"/>
              <w:start w:w="55" w:type="dxa"/>
              <w:bottom w:w="45" w:type="dxa"/>
              <w:end w:w="55" w:type="dxa"/>
            </w:tcMar>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line="240" w:lineRule="auto"/>
            </w:pPr>
            <w:r>
              <w:rPr>
                <w:b w:val="0"/>
                <w:i w:val="0"/>
                <w:rFonts w:ascii="Arial" w:hAnsi="Arial" w:eastAsia="Arial" w:cs="Arial"/>
                <w:sz w:val="20"/>
                <w:szCs w:val="20"/>
              </w:rPr>
              <w:t>6</w:t>
            </w:r>
          </w:p>
        </w:tc>
        <w:tc>
          <w:tcPr>
            <w:tcW w:type="dxa" w:w="3097"/>
            <w:vAlign w:val="top"/>
            <w:tcMar>
              <w:top w:w="45" w:type="dxa"/>
              <w:start w:w="55" w:type="dxa"/>
              <w:bottom w:w="45" w:type="dxa"/>
              <w:end w:w="55" w:type="dxa"/>
            </w:tcMar>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line="240" w:lineRule="auto"/>
            </w:pPr>
            <w:r>
              <w:rPr>
                <w:b w:val="0"/>
                <w:i w:val="0"/>
                <w:rFonts w:ascii="Arial" w:hAnsi="Arial" w:eastAsia="Arial" w:cs="Arial"/>
                <w:sz w:val="20"/>
                <w:szCs w:val="20"/>
              </w:rPr>
              <w:t>Dependency spine</w:t>
            </w:r>
          </w:p>
        </w:tc>
        <w:tc>
          <w:tcPr>
            <w:tcW w:type="dxa" w:w="4175"/>
            <w:vAlign w:val="top"/>
            <w:tcMar>
              <w:top w:w="45" w:type="dxa"/>
              <w:start w:w="55" w:type="dxa"/>
              <w:bottom w:w="45" w:type="dxa"/>
              <w:end w:w="55" w:type="dxa"/>
            </w:tcMar>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line="240" w:lineRule="auto"/>
            </w:pPr>
            <w:r>
              <w:rPr>
                <w:b w:val="0"/>
                <w:i w:val="0"/>
                <w:rFonts w:ascii="Arial" w:hAnsi="Arial" w:eastAsia="Arial" w:cs="Arial"/>
                <w:sz w:val="20"/>
                <w:szCs w:val="20"/>
              </w:rPr>
              <w:t>Shows conceptual dependency order.</w:t>
            </w:r>
          </w:p>
        </w:tc>
        <w:tc>
          <w:tcPr>
            <w:tcW w:type="dxa" w:w="6329"/>
            <w:vAlign w:val="top"/>
            <w:tcMar>
              <w:top w:w="45" w:type="dxa"/>
              <w:start w:w="55" w:type="dxa"/>
              <w:bottom w:w="45" w:type="dxa"/>
              <w:end w:w="55" w:type="dxa"/>
            </w:tcMar>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line="240" w:lineRule="auto"/>
            </w:pPr>
            <w:r>
              <w:rPr>
                <w:b w:val="0"/>
                <w:i w:val="0"/>
                <w:rFonts w:ascii="Arial" w:hAnsi="Arial" w:eastAsia="Arial" w:cs="Arial"/>
                <w:sz w:val="20"/>
                <w:szCs w:val="20"/>
              </w:rPr>
              <w:t>Separate threshold, capacity, realised operation, correction, scalar alignment, and performance grading.</w:t>
            </w:r>
          </w:p>
        </w:tc>
      </w:tr>
      <w:tr>
        <w:trPr>
          <w:cantSplit/>
        </w:trPr>
        <w:tc>
          <w:tcPr>
            <w:tcW w:type="dxa" w:w="943"/>
            <w:vAlign w:val="top"/>
            <w:tcMar>
              <w:top w:w="45" w:type="dxa"/>
              <w:start w:w="55" w:type="dxa"/>
              <w:bottom w:w="45" w:type="dxa"/>
              <w:end w:w="55" w:type="dxa"/>
            </w:tcMar>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line="240" w:lineRule="auto"/>
            </w:pPr>
            <w:r>
              <w:rPr>
                <w:b w:val="0"/>
                <w:i w:val="0"/>
                <w:rFonts w:ascii="Arial" w:hAnsi="Arial" w:eastAsia="Arial" w:cs="Arial"/>
                <w:sz w:val="20"/>
                <w:szCs w:val="20"/>
              </w:rPr>
              <w:t>7</w:t>
            </w:r>
          </w:p>
        </w:tc>
        <w:tc>
          <w:tcPr>
            <w:tcW w:type="dxa" w:w="3097"/>
            <w:vAlign w:val="top"/>
            <w:tcMar>
              <w:top w:w="45" w:type="dxa"/>
              <w:start w:w="55" w:type="dxa"/>
              <w:bottom w:w="45" w:type="dxa"/>
              <w:end w:w="55" w:type="dxa"/>
            </w:tcMar>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line="240" w:lineRule="auto"/>
            </w:pPr>
            <w:r>
              <w:rPr>
                <w:b w:val="0"/>
                <w:i w:val="0"/>
                <w:rFonts w:ascii="Arial" w:hAnsi="Arial" w:eastAsia="Arial" w:cs="Arial"/>
                <w:sz w:val="20"/>
                <w:szCs w:val="20"/>
              </w:rPr>
              <w:t>Paper-by-paper compression</w:t>
            </w:r>
          </w:p>
        </w:tc>
        <w:tc>
          <w:tcPr>
            <w:tcW w:type="dxa" w:w="4175"/>
            <w:vAlign w:val="top"/>
            <w:tcMar>
              <w:top w:w="45" w:type="dxa"/>
              <w:start w:w="55" w:type="dxa"/>
              <w:bottom w:w="45" w:type="dxa"/>
              <w:end w:w="55" w:type="dxa"/>
            </w:tcMar>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line="240" w:lineRule="auto"/>
            </w:pPr>
            <w:r>
              <w:rPr>
                <w:b w:val="0"/>
                <w:i w:val="0"/>
                <w:rFonts w:ascii="Arial" w:hAnsi="Arial" w:eastAsia="Arial" w:cs="Arial"/>
                <w:sz w:val="20"/>
                <w:szCs w:val="20"/>
              </w:rPr>
              <w:t>Compresses each canonical paper.</w:t>
            </w:r>
          </w:p>
        </w:tc>
        <w:tc>
          <w:tcPr>
            <w:tcW w:type="dxa" w:w="6329"/>
            <w:vAlign w:val="top"/>
            <w:tcMar>
              <w:top w:w="45" w:type="dxa"/>
              <w:start w:w="55" w:type="dxa"/>
              <w:bottom w:w="45" w:type="dxa"/>
              <w:end w:w="55" w:type="dxa"/>
            </w:tcMar>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line="240" w:lineRule="auto"/>
            </w:pPr>
            <w:r>
              <w:rPr>
                <w:b w:val="0"/>
                <w:i w:val="0"/>
                <w:rFonts w:ascii="Arial" w:hAnsi="Arial" w:eastAsia="Arial" w:cs="Arial"/>
                <w:sz w:val="20"/>
                <w:szCs w:val="20"/>
              </w:rPr>
              <w:t>Keep ownership visible and terminology source-locked.</w:t>
            </w:r>
          </w:p>
        </w:tc>
      </w:tr>
      <w:tr>
        <w:trPr>
          <w:cantSplit/>
        </w:trPr>
        <w:tc>
          <w:tcPr>
            <w:tcW w:type="dxa" w:w="943"/>
            <w:vAlign w:val="top"/>
            <w:tcMar>
              <w:top w:w="45" w:type="dxa"/>
              <w:start w:w="55" w:type="dxa"/>
              <w:bottom w:w="45" w:type="dxa"/>
              <w:end w:w="55" w:type="dxa"/>
            </w:tcMar>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line="240" w:lineRule="auto"/>
            </w:pPr>
            <w:r>
              <w:rPr>
                <w:b w:val="0"/>
                <w:i w:val="0"/>
                <w:rFonts w:ascii="Arial" w:hAnsi="Arial" w:eastAsia="Arial" w:cs="Arial"/>
                <w:sz w:val="20"/>
                <w:szCs w:val="20"/>
              </w:rPr>
              <w:t>8</w:t>
            </w:r>
          </w:p>
        </w:tc>
        <w:tc>
          <w:tcPr>
            <w:tcW w:type="dxa" w:w="3097"/>
            <w:vAlign w:val="top"/>
            <w:tcMar>
              <w:top w:w="45" w:type="dxa"/>
              <w:start w:w="55" w:type="dxa"/>
              <w:bottom w:w="45" w:type="dxa"/>
              <w:end w:w="55" w:type="dxa"/>
            </w:tcMar>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line="240" w:lineRule="auto"/>
            </w:pPr>
            <w:r>
              <w:rPr>
                <w:b w:val="0"/>
                <w:i w:val="0"/>
                <w:rFonts w:ascii="Arial" w:hAnsi="Arial" w:eastAsia="Arial" w:cs="Arial"/>
                <w:sz w:val="20"/>
                <w:szCs w:val="20"/>
              </w:rPr>
              <w:t>Operational use sequence</w:t>
            </w:r>
          </w:p>
        </w:tc>
        <w:tc>
          <w:tcPr>
            <w:tcW w:type="dxa" w:w="4175"/>
            <w:vAlign w:val="top"/>
            <w:tcMar>
              <w:top w:w="45" w:type="dxa"/>
              <w:start w:w="55" w:type="dxa"/>
              <w:bottom w:w="45" w:type="dxa"/>
              <w:end w:w="55" w:type="dxa"/>
            </w:tcMar>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line="240" w:lineRule="auto"/>
            </w:pPr>
            <w:r>
              <w:rPr>
                <w:b w:val="0"/>
                <w:i w:val="0"/>
                <w:rFonts w:ascii="Arial" w:hAnsi="Arial" w:eastAsia="Arial" w:cs="Arial"/>
                <w:sz w:val="20"/>
                <w:szCs w:val="20"/>
              </w:rPr>
              <w:t>Converts architecture into an audit order.</w:t>
            </w:r>
          </w:p>
        </w:tc>
        <w:tc>
          <w:tcPr>
            <w:tcW w:type="dxa" w:w="6329"/>
            <w:vAlign w:val="top"/>
            <w:tcMar>
              <w:top w:w="45" w:type="dxa"/>
              <w:start w:w="55" w:type="dxa"/>
              <w:bottom w:w="45" w:type="dxa"/>
              <w:end w:w="55" w:type="dxa"/>
            </w:tcMar>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line="240" w:lineRule="auto"/>
            </w:pPr>
            <w:r>
              <w:rPr>
                <w:b w:val="0"/>
                <w:i w:val="0"/>
                <w:rFonts w:ascii="Arial" w:hAnsi="Arial" w:eastAsia="Arial" w:cs="Arial"/>
                <w:sz w:val="20"/>
                <w:szCs w:val="20"/>
              </w:rPr>
              <w:t>Identify facet and locus first; status before descriptor; correction and residual where alignment is incomplete.</w:t>
            </w:r>
          </w:p>
        </w:tc>
      </w:tr>
      <w:tr>
        <w:trPr>
          <w:cantSplit/>
        </w:trPr>
        <w:tc>
          <w:tcPr>
            <w:tcW w:type="dxa" w:w="943"/>
            <w:vAlign w:val="top"/>
            <w:tcMar>
              <w:top w:w="45" w:type="dxa"/>
              <w:start w:w="55" w:type="dxa"/>
              <w:bottom w:w="45" w:type="dxa"/>
              <w:end w:w="55" w:type="dxa"/>
            </w:tcMar>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line="240" w:lineRule="auto"/>
            </w:pPr>
            <w:r>
              <w:rPr>
                <w:b w:val="0"/>
                <w:i w:val="0"/>
                <w:rFonts w:ascii="Arial" w:hAnsi="Arial" w:eastAsia="Arial" w:cs="Arial"/>
                <w:sz w:val="20"/>
                <w:szCs w:val="20"/>
              </w:rPr>
              <w:t>9</w:t>
            </w:r>
          </w:p>
        </w:tc>
        <w:tc>
          <w:tcPr>
            <w:tcW w:type="dxa" w:w="3097"/>
            <w:vAlign w:val="top"/>
            <w:tcMar>
              <w:top w:w="45" w:type="dxa"/>
              <w:start w:w="55" w:type="dxa"/>
              <w:bottom w:w="45" w:type="dxa"/>
              <w:end w:w="55" w:type="dxa"/>
            </w:tcMar>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line="240" w:lineRule="auto"/>
            </w:pPr>
            <w:r>
              <w:rPr>
                <w:b w:val="0"/>
                <w:i w:val="0"/>
                <w:rFonts w:ascii="Arial" w:hAnsi="Arial" w:eastAsia="Arial" w:cs="Arial"/>
                <w:sz w:val="20"/>
                <w:szCs w:val="20"/>
              </w:rPr>
              <w:t>Control interfaces</w:t>
            </w:r>
          </w:p>
        </w:tc>
        <w:tc>
          <w:tcPr>
            <w:tcW w:type="dxa" w:w="4175"/>
            <w:vAlign w:val="top"/>
            <w:tcMar>
              <w:top w:w="45" w:type="dxa"/>
              <w:start w:w="55" w:type="dxa"/>
              <w:bottom w:w="45" w:type="dxa"/>
              <w:end w:w="55" w:type="dxa"/>
            </w:tcMar>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line="240" w:lineRule="auto"/>
            </w:pPr>
            <w:r>
              <w:rPr>
                <w:b w:val="0"/>
                <w:i w:val="0"/>
                <w:rFonts w:ascii="Arial" w:hAnsi="Arial" w:eastAsia="Arial" w:cs="Arial"/>
                <w:sz w:val="20"/>
                <w:szCs w:val="20"/>
              </w:rPr>
              <w:t>States how support documents and neighbouring Parts relate.</w:t>
            </w:r>
          </w:p>
        </w:tc>
        <w:tc>
          <w:tcPr>
            <w:tcW w:type="dxa" w:w="6329"/>
            <w:vAlign w:val="top"/>
            <w:tcMar>
              <w:top w:w="45" w:type="dxa"/>
              <w:start w:w="55" w:type="dxa"/>
              <w:bottom w:w="45" w:type="dxa"/>
              <w:end w:w="55" w:type="dxa"/>
            </w:tcMar>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line="240" w:lineRule="auto"/>
            </w:pPr>
            <w:r>
              <w:rPr>
                <w:b w:val="0"/>
                <w:i w:val="0"/>
                <w:rFonts w:ascii="Arial" w:hAnsi="Arial" w:eastAsia="Arial" w:cs="Arial"/>
                <w:sz w:val="20"/>
                <w:szCs w:val="20"/>
              </w:rPr>
              <w:t>Keep support documents secondary; keep Part 2a upstream and Part 3 unknown-handling downstream.</w:t>
            </w:r>
          </w:p>
        </w:tc>
      </w:tr>
      <w:tr>
        <w:trPr>
          <w:cantSplit/>
        </w:trPr>
        <w:tc>
          <w:tcPr>
            <w:tcW w:type="dxa" w:w="943"/>
            <w:vAlign w:val="top"/>
            <w:tcMar>
              <w:top w:w="45" w:type="dxa"/>
              <w:start w:w="55" w:type="dxa"/>
              <w:bottom w:w="45" w:type="dxa"/>
              <w:end w:w="55" w:type="dxa"/>
            </w:tcMar>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line="240" w:lineRule="auto"/>
            </w:pPr>
            <w:r>
              <w:rPr>
                <w:b w:val="0"/>
                <w:i w:val="0"/>
                <w:rFonts w:ascii="Arial" w:hAnsi="Arial" w:eastAsia="Arial" w:cs="Arial"/>
                <w:sz w:val="20"/>
                <w:szCs w:val="20"/>
              </w:rPr>
              <w:t>10</w:t>
            </w:r>
          </w:p>
        </w:tc>
        <w:tc>
          <w:tcPr>
            <w:tcW w:type="dxa" w:w="3097"/>
            <w:vAlign w:val="top"/>
            <w:tcMar>
              <w:top w:w="45" w:type="dxa"/>
              <w:start w:w="55" w:type="dxa"/>
              <w:bottom w:w="45" w:type="dxa"/>
              <w:end w:w="55" w:type="dxa"/>
            </w:tcMar>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line="240" w:lineRule="auto"/>
            </w:pPr>
            <w:r>
              <w:rPr>
                <w:b w:val="0"/>
                <w:i w:val="0"/>
                <w:rFonts w:ascii="Arial" w:hAnsi="Arial" w:eastAsia="Arial" w:cs="Arial"/>
                <w:sz w:val="20"/>
                <w:szCs w:val="20"/>
              </w:rPr>
              <w:t>Extension protocol and release checklist</w:t>
            </w:r>
          </w:p>
        </w:tc>
        <w:tc>
          <w:tcPr>
            <w:tcW w:type="dxa" w:w="4175"/>
            <w:vAlign w:val="top"/>
            <w:tcMar>
              <w:top w:w="45" w:type="dxa"/>
              <w:start w:w="55" w:type="dxa"/>
              <w:bottom w:w="45" w:type="dxa"/>
              <w:end w:w="55" w:type="dxa"/>
            </w:tcMar>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line="240" w:lineRule="auto"/>
            </w:pPr>
            <w:r>
              <w:rPr>
                <w:b w:val="0"/>
                <w:i w:val="0"/>
                <w:rFonts w:ascii="Arial" w:hAnsi="Arial" w:eastAsia="Arial" w:cs="Arial"/>
                <w:sz w:val="20"/>
                <w:szCs w:val="20"/>
              </w:rPr>
              <w:t>States how later applications may inherit the Part.</w:t>
            </w:r>
          </w:p>
        </w:tc>
        <w:tc>
          <w:tcPr>
            <w:tcW w:type="dxa" w:w="6329"/>
            <w:vAlign w:val="top"/>
            <w:tcMar>
              <w:top w:w="45" w:type="dxa"/>
              <w:start w:w="55" w:type="dxa"/>
              <w:bottom w:w="45" w:type="dxa"/>
              <w:end w:w="55" w:type="dxa"/>
            </w:tcMar>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line="240" w:lineRule="auto"/>
            </w:pPr>
            <w:r>
              <w:rPr>
                <w:b w:val="0"/>
                <w:i w:val="0"/>
                <w:rFonts w:ascii="Arial" w:hAnsi="Arial" w:eastAsia="Arial" w:cs="Arial"/>
                <w:sz w:val="20"/>
                <w:szCs w:val="20"/>
              </w:rPr>
              <w:t>Prevent source drift, status inflation, provenance inversion, facet drift, scale drift, descriptor inflation, and residual laundering.</w:t>
            </w:r>
          </w:p>
        </w:tc>
      </w:tr>
    </w:tbl>
    <w:p>
      <w:pPr>
        <w:rPr>
          <w:rFonts w:ascii="Arial" w:hAnsi="Arial" w:eastAsia="Arial" w:cs="Arial"/>
          <w:sz w:val="22"/>
          <w:szCs w:val="22"/>
        </w:rPr>
        <w:widowControl/>
        <w:spacing w:before="0" w:after="0" w:line="240" w:lineRule="auto"/>
        <w:keepNext/>
      </w:pPr>
      <w:r>
        <w:rPr>
          <w:rFonts w:ascii="Arial" w:hAnsi="Arial" w:eastAsia="Arial" w:cs="Arial"/>
          <w:sz w:val="22"/>
        </w:rPr>
      </w:r>
    </w:p>
    <w:p>
      <w:pPr>
        <w:rPr>
          <w:rFonts w:ascii="Arial" w:hAnsi="Arial" w:eastAsia="Arial" w:cs="Arial"/>
          <w:sz w:val="30"/>
          <w:szCs w:val="30"/>
          <w:b w:val="1"/>
          <w:color w:val="1F4E79"/>
        </w:rPr>
        <w:widowControl/>
        <w:spacing w:before="60" w:after="40" w:line="240" w:lineRule="auto"/>
        <w:pStyle w:val="Heading1"/>
        <w:keepNext/>
        <w:keepLines/>
      </w:pPr>
      <w:r>
        <w:rPr>
          <w:i w:val="0"/>
          <w:rFonts w:ascii="Arial" w:hAnsi="Arial" w:eastAsia="Arial" w:cs="Arial"/>
          <w:sz w:val="30"/>
          <w:szCs w:val="30"/>
          <w:b w:val="1"/>
          <w:color w:val="1F4E79"/>
        </w:rPr>
        <w:t>4. Primary sequence and canonical ownership map</w:t>
      </w:r>
    </w:p>
    <w:tbl>
      <w:tblPr>
        <w:tblStyle w:val="TableGrid"/>
        <w:tblW w:type="dxa" w:w="14544"/>
        <w:jc w:val="center"/>
        <w:tblLayout w:type="fixed"/>
        <w:tblLook w:firstColumn="1" w:firstRow="1" w:lastColumn="0" w:lastRow="0" w:noHBand="0" w:noVBand="1" w:val="04A0"/>
        <w:tblBorders>
          <w:top w:val="single" w:sz="4" w:color="7F7F7F"/>
          <w:left w:val="single" w:sz="4" w:color="7F7F7F"/>
          <w:bottom w:val="single" w:sz="4" w:color="7F7F7F"/>
          <w:right w:val="single" w:sz="4" w:color="7F7F7F"/>
          <w:insideH w:val="single" w:sz="4" w:color="7F7F7F"/>
          <w:insideV w:val="single" w:sz="4" w:color="7F7F7F"/>
        </w:tblBorders>
      </w:tblPr>
      <w:tblGrid>
        <w:gridCol w:w="1212"/>
        <w:gridCol w:w="3097"/>
        <w:gridCol w:w="2963"/>
        <w:gridCol w:w="7272"/>
      </w:tblGrid>
      <w:tr>
        <w:trPr>
          <w:cantSplit/>
          <w:tblHeader w:val="1"/>
        </w:trPr>
        <w:tc>
          <w:tcPr>
            <w:tcW w:type="dxa" w:w="1212"/>
            <w:vAlign w:val="center"/>
            <w:shd w:fill="D9EAF7" w:val="clear"/>
            <w:tcMar>
              <w:top w:w="45" w:type="dxa"/>
              <w:start w:w="55" w:type="dxa"/>
              <w:bottom w:w="45" w:type="dxa"/>
              <w:end w:w="55" w:type="dxa"/>
            </w:tcMar>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pPr>
            <w:r>
              <w:rPr>
                <w:i w:val="0"/>
                <w:rFonts w:ascii="Arial" w:hAnsi="Arial" w:eastAsia="Arial" w:cs="Arial"/>
                <w:sz w:val="20"/>
                <w:szCs w:val="20"/>
                <w:b/>
              </w:rPr>
              <w:t>Sequence</w:t>
            </w:r>
          </w:p>
        </w:tc>
        <w:tc>
          <w:tcPr>
            <w:tcW w:type="dxa" w:w="3097"/>
            <w:vAlign w:val="center"/>
            <w:shd w:fill="D9EAF7" w:val="clear"/>
            <w:tcMar>
              <w:top w:w="45" w:type="dxa"/>
              <w:start w:w="55" w:type="dxa"/>
              <w:bottom w:w="45" w:type="dxa"/>
              <w:end w:w="55" w:type="dxa"/>
            </w:tcMar>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pPr>
            <w:r>
              <w:rPr>
                <w:i w:val="0"/>
                <w:rFonts w:ascii="Arial" w:hAnsi="Arial" w:eastAsia="Arial" w:cs="Arial"/>
                <w:sz w:val="20"/>
                <w:szCs w:val="20"/>
                <w:b/>
              </w:rPr>
              <w:t>Primary paper</w:t>
            </w:r>
          </w:p>
        </w:tc>
        <w:tc>
          <w:tcPr>
            <w:tcW w:type="dxa" w:w="2963"/>
            <w:vAlign w:val="center"/>
            <w:shd w:fill="D9EAF7" w:val="clear"/>
            <w:tcMar>
              <w:top w:w="45" w:type="dxa"/>
              <w:start w:w="55" w:type="dxa"/>
              <w:bottom w:w="45" w:type="dxa"/>
              <w:end w:w="55" w:type="dxa"/>
            </w:tcMar>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pPr>
            <w:r>
              <w:rPr>
                <w:i w:val="0"/>
                <w:rFonts w:ascii="Arial" w:hAnsi="Arial" w:eastAsia="Arial" w:cs="Arial"/>
                <w:sz w:val="20"/>
                <w:szCs w:val="20"/>
                <w:b/>
              </w:rPr>
              <w:t>Role</w:t>
            </w:r>
          </w:p>
        </w:tc>
        <w:tc>
          <w:tcPr>
            <w:tcW w:type="dxa" w:w="7272"/>
            <w:vAlign w:val="center"/>
            <w:shd w:fill="D9EAF7" w:val="clear"/>
            <w:tcMar>
              <w:top w:w="45" w:type="dxa"/>
              <w:start w:w="55" w:type="dxa"/>
              <w:bottom w:w="45" w:type="dxa"/>
              <w:end w:w="55" w:type="dxa"/>
            </w:tcMar>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pPr>
            <w:r>
              <w:rPr>
                <w:i w:val="0"/>
                <w:rFonts w:ascii="Arial" w:hAnsi="Arial" w:eastAsia="Arial" w:cs="Arial"/>
                <w:sz w:val="20"/>
                <w:szCs w:val="20"/>
                <w:b/>
              </w:rPr>
              <w:t>Canonical ownership</w:t>
            </w:r>
          </w:p>
        </w:tc>
      </w:tr>
      <w:tr>
        <w:trPr>
          <w:cantSplit/>
        </w:trPr>
        <w:tc>
          <w:tcPr>
            <w:tcW w:type="dxa" w:w="1212"/>
            <w:vAlign w:val="top"/>
            <w:tcMar>
              <w:top w:w="45" w:type="dxa"/>
              <w:start w:w="55" w:type="dxa"/>
              <w:bottom w:w="45" w:type="dxa"/>
              <w:end w:w="55" w:type="dxa"/>
            </w:tcMar>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line="240" w:lineRule="auto"/>
            </w:pPr>
            <w:r>
              <w:rPr>
                <w:b w:val="0"/>
                <w:i w:val="0"/>
                <w:rFonts w:ascii="Arial" w:hAnsi="Arial" w:eastAsia="Arial" w:cs="Arial"/>
                <w:sz w:val="20"/>
                <w:szCs w:val="20"/>
              </w:rPr>
              <w:t>Paper 2</w:t>
            </w:r>
          </w:p>
        </w:tc>
        <w:tc>
          <w:tcPr>
            <w:tcW w:type="dxa" w:w="3097"/>
            <w:vAlign w:val="top"/>
            <w:tcMar>
              <w:top w:w="45" w:type="dxa"/>
              <w:start w:w="55" w:type="dxa"/>
              <w:bottom w:w="45" w:type="dxa"/>
              <w:end w:w="55" w:type="dxa"/>
            </w:tcMar>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line="240" w:lineRule="auto"/>
            </w:pPr>
            <w:r>
              <w:rPr>
                <w:b w:val="0"/>
                <w:i w:val="0"/>
                <w:rFonts w:ascii="Arial" w:hAnsi="Arial" w:eastAsia="Arial" w:cs="Arial"/>
                <w:sz w:val="20"/>
                <w:szCs w:val="20"/>
              </w:rPr>
              <w:t>On the Origin of Knowledge</w:t>
            </w:r>
          </w:p>
        </w:tc>
        <w:tc>
          <w:tcPr>
            <w:tcW w:type="dxa" w:w="2963"/>
            <w:vAlign w:val="top"/>
            <w:tcMar>
              <w:top w:w="45" w:type="dxa"/>
              <w:start w:w="55" w:type="dxa"/>
              <w:bottom w:w="45" w:type="dxa"/>
              <w:end w:w="55" w:type="dxa"/>
            </w:tcMar>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line="240" w:lineRule="auto"/>
            </w:pPr>
            <w:r>
              <w:rPr>
                <w:b w:val="0"/>
                <w:i w:val="0"/>
                <w:rFonts w:ascii="Arial" w:hAnsi="Arial" w:eastAsia="Arial" w:cs="Arial"/>
                <w:sz w:val="20"/>
                <w:szCs w:val="20"/>
              </w:rPr>
              <w:t>Defines retained distinction.</w:t>
            </w:r>
          </w:p>
        </w:tc>
        <w:tc>
          <w:tcPr>
            <w:tcW w:type="dxa" w:w="7272"/>
            <w:vAlign w:val="top"/>
            <w:tcMar>
              <w:top w:w="45" w:type="dxa"/>
              <w:start w:w="55" w:type="dxa"/>
              <w:bottom w:w="45" w:type="dxa"/>
              <w:end w:w="55" w:type="dxa"/>
            </w:tcMar>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line="240" w:lineRule="auto"/>
            </w:pPr>
            <w:r>
              <w:rPr>
                <w:b w:val="0"/>
                <w:i w:val="0"/>
                <w:rFonts w:ascii="Arial" w:hAnsi="Arial" w:eastAsia="Arial" w:cs="Arial"/>
                <w:sz w:val="20"/>
                <w:szCs w:val="20"/>
              </w:rPr>
              <w:t>Knowledge; RAS in the knowledge facet; TK, KIP, NTK; past-dependent present state; record-status versus truth/warrant.</w:t>
            </w:r>
          </w:p>
        </w:tc>
      </w:tr>
      <w:tr>
        <w:trPr>
          <w:cantSplit/>
        </w:trPr>
        <w:tc>
          <w:tcPr>
            <w:tcW w:type="dxa" w:w="1212"/>
            <w:vAlign w:val="top"/>
            <w:tcMar>
              <w:top w:w="45" w:type="dxa"/>
              <w:start w:w="55" w:type="dxa"/>
              <w:bottom w:w="45" w:type="dxa"/>
              <w:end w:w="55" w:type="dxa"/>
            </w:tcMar>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line="240" w:lineRule="auto"/>
            </w:pPr>
            <w:r>
              <w:rPr>
                <w:b w:val="0"/>
                <w:i w:val="0"/>
                <w:rFonts w:ascii="Arial" w:hAnsi="Arial" w:eastAsia="Arial" w:cs="Arial"/>
                <w:sz w:val="20"/>
                <w:szCs w:val="20"/>
              </w:rPr>
              <w:t>Paper 3</w:t>
            </w:r>
          </w:p>
        </w:tc>
        <w:tc>
          <w:tcPr>
            <w:tcW w:type="dxa" w:w="3097"/>
            <w:vAlign w:val="top"/>
            <w:tcMar>
              <w:top w:w="45" w:type="dxa"/>
              <w:start w:w="55" w:type="dxa"/>
              <w:bottom w:w="45" w:type="dxa"/>
              <w:end w:w="55" w:type="dxa"/>
            </w:tcMar>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line="240" w:lineRule="auto"/>
            </w:pPr>
            <w:r>
              <w:rPr>
                <w:b w:val="0"/>
                <w:i w:val="0"/>
                <w:rFonts w:ascii="Arial" w:hAnsi="Arial" w:eastAsia="Arial" w:cs="Arial"/>
                <w:sz w:val="20"/>
                <w:szCs w:val="20"/>
              </w:rPr>
              <w:t>On the Origin of Intelligence</w:t>
            </w:r>
          </w:p>
        </w:tc>
        <w:tc>
          <w:tcPr>
            <w:tcW w:type="dxa" w:w="2963"/>
            <w:vAlign w:val="top"/>
            <w:tcMar>
              <w:top w:w="45" w:type="dxa"/>
              <w:start w:w="55" w:type="dxa"/>
              <w:bottom w:w="45" w:type="dxa"/>
              <w:end w:w="55" w:type="dxa"/>
            </w:tcMar>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line="240" w:lineRule="auto"/>
            </w:pPr>
            <w:r>
              <w:rPr>
                <w:b w:val="0"/>
                <w:i w:val="0"/>
                <w:rFonts w:ascii="Arial" w:hAnsi="Arial" w:eastAsia="Arial" w:cs="Arial"/>
                <w:sz w:val="20"/>
                <w:szCs w:val="20"/>
              </w:rPr>
              <w:t>Defines applied distinction.</w:t>
            </w:r>
          </w:p>
        </w:tc>
        <w:tc>
          <w:tcPr>
            <w:tcW w:type="dxa" w:w="7272"/>
            <w:vAlign w:val="top"/>
            <w:tcMar>
              <w:top w:w="45" w:type="dxa"/>
              <w:start w:w="55" w:type="dxa"/>
              <w:bottom w:w="45" w:type="dxa"/>
              <w:end w:w="55" w:type="dxa"/>
            </w:tcMar>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line="240" w:lineRule="auto"/>
            </w:pPr>
            <w:r>
              <w:rPr>
                <w:b w:val="0"/>
                <w:i w:val="0"/>
                <w:rFonts w:ascii="Arial" w:hAnsi="Arial" w:eastAsia="Arial" w:cs="Arial"/>
                <w:sz w:val="20"/>
                <w:szCs w:val="20"/>
              </w:rPr>
              <w:t>Intelligence; finite branch-space; passive/active information; producing-locus provenance; passive/active intelligence; NTI; BD/IPL discipline.</w:t>
            </w:r>
          </w:p>
        </w:tc>
      </w:tr>
      <w:tr>
        <w:trPr>
          <w:cantSplit/>
        </w:trPr>
        <w:tc>
          <w:tcPr>
            <w:tcW w:type="dxa" w:w="1212"/>
            <w:vAlign w:val="top"/>
            <w:tcMar>
              <w:top w:w="45" w:type="dxa"/>
              <w:start w:w="55" w:type="dxa"/>
              <w:bottom w:w="45" w:type="dxa"/>
              <w:end w:w="55" w:type="dxa"/>
            </w:tcMar>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line="240" w:lineRule="auto"/>
            </w:pPr>
            <w:r>
              <w:rPr>
                <w:b w:val="0"/>
                <w:i w:val="0"/>
                <w:rFonts w:ascii="Arial" w:hAnsi="Arial" w:eastAsia="Arial" w:cs="Arial"/>
                <w:sz w:val="20"/>
                <w:szCs w:val="20"/>
              </w:rPr>
              <w:t>Paper 4</w:t>
            </w:r>
          </w:p>
        </w:tc>
        <w:tc>
          <w:tcPr>
            <w:tcW w:type="dxa" w:w="3097"/>
            <w:vAlign w:val="top"/>
            <w:tcMar>
              <w:top w:w="45" w:type="dxa"/>
              <w:start w:w="55" w:type="dxa"/>
              <w:bottom w:w="45" w:type="dxa"/>
              <w:end w:w="55" w:type="dxa"/>
            </w:tcMar>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line="240" w:lineRule="auto"/>
            </w:pPr>
            <w:r>
              <w:rPr>
                <w:b w:val="0"/>
                <w:i w:val="0"/>
                <w:rFonts w:ascii="Arial" w:hAnsi="Arial" w:eastAsia="Arial" w:cs="Arial"/>
                <w:sz w:val="20"/>
                <w:szCs w:val="20"/>
              </w:rPr>
              <w:t>On the Origin of Observation</w:t>
            </w:r>
          </w:p>
        </w:tc>
        <w:tc>
          <w:tcPr>
            <w:tcW w:type="dxa" w:w="2963"/>
            <w:vAlign w:val="top"/>
            <w:tcMar>
              <w:top w:w="45" w:type="dxa"/>
              <w:start w:w="55" w:type="dxa"/>
              <w:bottom w:w="45" w:type="dxa"/>
              <w:end w:w="55" w:type="dxa"/>
            </w:tcMar>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line="240" w:lineRule="auto"/>
            </w:pPr>
            <w:r>
              <w:rPr>
                <w:b w:val="0"/>
                <w:i w:val="0"/>
                <w:rFonts w:ascii="Arial" w:hAnsi="Arial" w:eastAsia="Arial" w:cs="Arial"/>
                <w:sz w:val="20"/>
                <w:szCs w:val="20"/>
              </w:rPr>
              <w:t>Defines bounded registration.</w:t>
            </w:r>
          </w:p>
        </w:tc>
        <w:tc>
          <w:tcPr>
            <w:tcW w:type="dxa" w:w="7272"/>
            <w:vAlign w:val="top"/>
            <w:tcMar>
              <w:top w:w="45" w:type="dxa"/>
              <w:start w:w="55" w:type="dxa"/>
              <w:bottom w:w="45" w:type="dxa"/>
              <w:end w:w="55" w:type="dxa"/>
            </w:tcMar>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line="240" w:lineRule="auto"/>
            </w:pPr>
            <w:r>
              <w:rPr>
                <w:b w:val="0"/>
                <w:i w:val="0"/>
                <w:rFonts w:ascii="Arial" w:hAnsi="Arial" w:eastAsia="Arial" w:cs="Arial"/>
                <w:sz w:val="20"/>
                <w:szCs w:val="20"/>
              </w:rPr>
              <w:t>OR event; RAS record; Pre-TO, TO, OIP, NTO; observer-locus, Observer, Observer Event Horizon; record-provenance.</w:t>
            </w:r>
          </w:p>
        </w:tc>
      </w:tr>
      <w:tr>
        <w:trPr>
          <w:cantSplit/>
        </w:trPr>
        <w:tc>
          <w:tcPr>
            <w:tcW w:type="dxa" w:w="1212"/>
            <w:vAlign w:val="top"/>
            <w:tcMar>
              <w:top w:w="45" w:type="dxa"/>
              <w:start w:w="55" w:type="dxa"/>
              <w:bottom w:w="45" w:type="dxa"/>
              <w:end w:w="55" w:type="dxa"/>
            </w:tcMar>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line="240" w:lineRule="auto"/>
            </w:pPr>
            <w:r>
              <w:rPr>
                <w:b w:val="0"/>
                <w:i w:val="0"/>
                <w:rFonts w:ascii="Arial" w:hAnsi="Arial" w:eastAsia="Arial" w:cs="Arial"/>
                <w:sz w:val="20"/>
                <w:szCs w:val="20"/>
              </w:rPr>
              <w:t>Paper 4a</w:t>
            </w:r>
          </w:p>
        </w:tc>
        <w:tc>
          <w:tcPr>
            <w:tcW w:type="dxa" w:w="3097"/>
            <w:vAlign w:val="top"/>
            <w:tcMar>
              <w:top w:w="45" w:type="dxa"/>
              <w:start w:w="55" w:type="dxa"/>
              <w:bottom w:w="45" w:type="dxa"/>
              <w:end w:w="55" w:type="dxa"/>
            </w:tcMar>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line="240" w:lineRule="auto"/>
            </w:pPr>
            <w:r>
              <w:rPr>
                <w:b w:val="0"/>
                <w:i w:val="0"/>
                <w:rFonts w:ascii="Arial" w:hAnsi="Arial" w:eastAsia="Arial" w:cs="Arial"/>
                <w:sz w:val="20"/>
                <w:szCs w:val="20"/>
              </w:rPr>
              <w:t>The Limits of Observation</w:t>
            </w:r>
          </w:p>
        </w:tc>
        <w:tc>
          <w:tcPr>
            <w:tcW w:type="dxa" w:w="2963"/>
            <w:vAlign w:val="top"/>
            <w:tcMar>
              <w:top w:w="45" w:type="dxa"/>
              <w:start w:w="55" w:type="dxa"/>
              <w:bottom w:w="45" w:type="dxa"/>
              <w:end w:w="55" w:type="dxa"/>
            </w:tcMar>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line="240" w:lineRule="auto"/>
            </w:pPr>
            <w:r>
              <w:rPr>
                <w:b w:val="0"/>
                <w:i w:val="0"/>
                <w:rFonts w:ascii="Arial" w:hAnsi="Arial" w:eastAsia="Arial" w:cs="Arial"/>
                <w:sz w:val="20"/>
                <w:szCs w:val="20"/>
              </w:rPr>
              <w:t>Defines abstraction and perspective consequences.</w:t>
            </w:r>
          </w:p>
        </w:tc>
        <w:tc>
          <w:tcPr>
            <w:tcW w:type="dxa" w:w="7272"/>
            <w:vAlign w:val="top"/>
            <w:tcMar>
              <w:top w:w="45" w:type="dxa"/>
              <w:start w:w="55" w:type="dxa"/>
              <w:bottom w:w="45" w:type="dxa"/>
              <w:end w:w="55" w:type="dxa"/>
            </w:tcMar>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line="240" w:lineRule="auto"/>
            </w:pPr>
            <w:r>
              <w:rPr>
                <w:b w:val="0"/>
                <w:i w:val="0"/>
                <w:rFonts w:ascii="Arial" w:hAnsi="Arial" w:eastAsia="Arial" w:cs="Arial"/>
                <w:sz w:val="20"/>
                <w:szCs w:val="20"/>
              </w:rPr>
              <w:t>Cut; abstraction regime; perspective; event-horizon profile; Abstraction Gap; relational uncertainty; objectivity as correction.</w:t>
            </w:r>
          </w:p>
        </w:tc>
      </w:tr>
      <w:tr>
        <w:trPr>
          <w:cantSplit/>
        </w:trPr>
        <w:tc>
          <w:tcPr>
            <w:tcW w:type="dxa" w:w="1212"/>
            <w:vAlign w:val="top"/>
            <w:tcMar>
              <w:top w:w="45" w:type="dxa"/>
              <w:start w:w="55" w:type="dxa"/>
              <w:bottom w:w="45" w:type="dxa"/>
              <w:end w:w="55" w:type="dxa"/>
            </w:tcMar>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line="240" w:lineRule="auto"/>
            </w:pPr>
            <w:r>
              <w:rPr>
                <w:b w:val="0"/>
                <w:i w:val="0"/>
                <w:rFonts w:ascii="Arial" w:hAnsi="Arial" w:eastAsia="Arial" w:cs="Arial"/>
                <w:sz w:val="20"/>
                <w:szCs w:val="20"/>
              </w:rPr>
              <w:t>Paper 4b</w:t>
            </w:r>
          </w:p>
        </w:tc>
        <w:tc>
          <w:tcPr>
            <w:tcW w:type="dxa" w:w="3097"/>
            <w:vAlign w:val="top"/>
            <w:tcMar>
              <w:top w:w="45" w:type="dxa"/>
              <w:start w:w="55" w:type="dxa"/>
              <w:bottom w:w="45" w:type="dxa"/>
              <w:end w:w="55" w:type="dxa"/>
            </w:tcMar>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line="240" w:lineRule="auto"/>
            </w:pPr>
            <w:r>
              <w:rPr>
                <w:b w:val="0"/>
                <w:i w:val="0"/>
                <w:rFonts w:ascii="Arial" w:hAnsi="Arial" w:eastAsia="Arial" w:cs="Arial"/>
                <w:sz w:val="20"/>
                <w:szCs w:val="20"/>
              </w:rPr>
              <w:t>The Scale of Observation</w:t>
            </w:r>
          </w:p>
        </w:tc>
        <w:tc>
          <w:tcPr>
            <w:tcW w:type="dxa" w:w="2963"/>
            <w:vAlign w:val="top"/>
            <w:tcMar>
              <w:top w:w="45" w:type="dxa"/>
              <w:start w:w="55" w:type="dxa"/>
              <w:bottom w:w="45" w:type="dxa"/>
              <w:end w:w="55" w:type="dxa"/>
            </w:tcMar>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line="240" w:lineRule="auto"/>
            </w:pPr>
            <w:r>
              <w:rPr>
                <w:b w:val="0"/>
                <w:i w:val="0"/>
                <w:rFonts w:ascii="Arial" w:hAnsi="Arial" w:eastAsia="Arial" w:cs="Arial"/>
                <w:sz w:val="20"/>
                <w:szCs w:val="20"/>
              </w:rPr>
              <w:t>Defines scalar and measurement consequences.</w:t>
            </w:r>
          </w:p>
        </w:tc>
        <w:tc>
          <w:tcPr>
            <w:tcW w:type="dxa" w:w="7272"/>
            <w:vAlign w:val="top"/>
            <w:tcMar>
              <w:top w:w="45" w:type="dxa"/>
              <w:start w:w="55" w:type="dxa"/>
              <w:bottom w:w="45" w:type="dxa"/>
              <w:end w:w="55" w:type="dxa"/>
            </w:tcMar>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line="240" w:lineRule="auto"/>
            </w:pPr>
            <w:r>
              <w:rPr>
                <w:b w:val="0"/>
                <w:i w:val="0"/>
                <w:rFonts w:ascii="Arial" w:hAnsi="Arial" w:eastAsia="Arial" w:cs="Arial"/>
                <w:sz w:val="20"/>
                <w:szCs w:val="20"/>
              </w:rPr>
              <w:t>Scale as stabilised comparability; magnitude; reference and operative scale; measurement; Scale Gap; scalar objectivity.</w:t>
            </w:r>
          </w:p>
        </w:tc>
      </w:tr>
      <w:tr>
        <w:trPr>
          <w:cantSplit/>
        </w:trPr>
        <w:tc>
          <w:tcPr>
            <w:tcW w:type="dxa" w:w="1212"/>
            <w:vAlign w:val="top"/>
            <w:tcMar>
              <w:top w:w="45" w:type="dxa"/>
              <w:start w:w="55" w:type="dxa"/>
              <w:bottom w:w="45" w:type="dxa"/>
              <w:end w:w="55" w:type="dxa"/>
            </w:tcMar>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line="240" w:lineRule="auto"/>
            </w:pPr>
            <w:r>
              <w:rPr>
                <w:b w:val="0"/>
                <w:i w:val="0"/>
                <w:rFonts w:ascii="Arial" w:hAnsi="Arial" w:eastAsia="Arial" w:cs="Arial"/>
                <w:sz w:val="20"/>
                <w:szCs w:val="20"/>
              </w:rPr>
              <w:t>Paper 4c</w:t>
            </w:r>
          </w:p>
        </w:tc>
        <w:tc>
          <w:tcPr>
            <w:tcW w:type="dxa" w:w="3097"/>
            <w:vAlign w:val="top"/>
            <w:tcMar>
              <w:top w:w="45" w:type="dxa"/>
              <w:start w:w="55" w:type="dxa"/>
              <w:bottom w:w="45" w:type="dxa"/>
              <w:end w:w="55" w:type="dxa"/>
            </w:tcMar>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line="240" w:lineRule="auto"/>
            </w:pPr>
            <w:r>
              <w:rPr>
                <w:b w:val="0"/>
                <w:i w:val="0"/>
                <w:rFonts w:ascii="Arial" w:hAnsi="Arial" w:eastAsia="Arial" w:cs="Arial"/>
                <w:sz w:val="20"/>
                <w:szCs w:val="20"/>
              </w:rPr>
              <w:t>The Operational Envelope of Observation</w:t>
            </w:r>
          </w:p>
        </w:tc>
        <w:tc>
          <w:tcPr>
            <w:tcW w:type="dxa" w:w="2963"/>
            <w:vAlign w:val="top"/>
            <w:tcMar>
              <w:top w:w="45" w:type="dxa"/>
              <w:start w:w="55" w:type="dxa"/>
              <w:bottom w:w="45" w:type="dxa"/>
              <w:end w:w="55" w:type="dxa"/>
            </w:tcMar>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line="240" w:lineRule="auto"/>
            </w:pPr>
            <w:r>
              <w:rPr>
                <w:b w:val="0"/>
                <w:i w:val="0"/>
                <w:rFonts w:ascii="Arial" w:hAnsi="Arial" w:eastAsia="Arial" w:cs="Arial"/>
                <w:sz w:val="20"/>
                <w:szCs w:val="20"/>
              </w:rPr>
              <w:t>Defines program performance and failure envelope.</w:t>
            </w:r>
          </w:p>
        </w:tc>
        <w:tc>
          <w:tcPr>
            <w:tcW w:type="dxa" w:w="7272"/>
            <w:vAlign w:val="top"/>
            <w:tcMar>
              <w:top w:w="45" w:type="dxa"/>
              <w:start w:w="55" w:type="dxa"/>
              <w:bottom w:w="45" w:type="dxa"/>
              <w:end w:w="55" w:type="dxa"/>
            </w:tcMar>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line="240" w:lineRule="auto"/>
            </w:pPr>
            <w:r>
              <w:rPr>
                <w:b w:val="0"/>
                <w:i w:val="0"/>
                <w:rFonts w:ascii="Arial" w:hAnsi="Arial" w:eastAsia="Arial" w:cs="Arial"/>
                <w:sz w:val="20"/>
                <w:szCs w:val="20"/>
              </w:rPr>
              <w:t>Observation program; status/performance separation; OH, CH, RF, OBW, OD, OG, ODr, OL, OCx; failure localisation.</w:t>
            </w:r>
          </w:p>
        </w:tc>
      </w:tr>
    </w:tbl>
    <w:p>
      <w:pPr>
        <w:rPr>
          <w:rFonts w:ascii="Arial" w:hAnsi="Arial" w:eastAsia="Arial" w:cs="Arial"/>
          <w:sz w:val="22"/>
          <w:szCs w:val="22"/>
        </w:rPr>
        <w:widowControl/>
        <w:spacing w:before="0" w:after="0" w:line="240" w:lineRule="auto"/>
        <w:keepNext/>
      </w:pPr>
      <w:r>
        <w:rPr>
          <w:rFonts w:ascii="Arial" w:hAnsi="Arial" w:eastAsia="Arial" w:cs="Arial"/>
          <w:sz w:val="22"/>
        </w:rPr>
      </w:r>
    </w:p>
    <w:p>
      <w:pPr>
        <w:rPr>
          <w:rFonts w:ascii="Arial" w:hAnsi="Arial" w:eastAsia="Arial" w:cs="Arial"/>
          <w:sz w:val="22"/>
          <w:szCs w:val="22"/>
        </w:rPr>
        <w:keepNext/>
        <w:widowControl/>
        <w:spacing w:before="40" w:after="20" w:line="240" w:lineRule="auto"/>
      </w:pPr>
      <w:r>
        <w:rPr>
          <w:b/>
          <w:i w:val="0"/>
          <w:color w:val="1F4E78"/>
          <w:rFonts w:ascii="Arial" w:hAnsi="Arial" w:eastAsia="Arial" w:cs="Arial"/>
          <w:sz w:val="22"/>
          <w:szCs w:val="22"/>
        </w:rPr>
        <w:t>4.1 Canonical ownership register</w:t>
      </w:r>
    </w:p>
    <w:tbl>
      <w:tblPr>
        <w:tblStyle w:val="TableGrid"/>
        <w:tblW w:type="dxa" w:w="14544"/>
        <w:jc w:val="center"/>
        <w:tblLayout w:type="fixed"/>
        <w:tblLook w:firstColumn="1" w:firstRow="1" w:lastColumn="0" w:lastRow="0" w:noHBand="0" w:noVBand="1" w:val="04A0"/>
        <w:tblBorders>
          <w:top w:val="single" w:sz="4" w:color="7F7F7F"/>
          <w:left w:val="single" w:sz="4" w:color="7F7F7F"/>
          <w:bottom w:val="single" w:sz="4" w:color="7F7F7F"/>
          <w:right w:val="single" w:sz="4" w:color="7F7F7F"/>
          <w:insideH w:val="single" w:sz="4" w:color="7F7F7F"/>
          <w:insideV w:val="single" w:sz="4" w:color="7F7F7F"/>
        </w:tblBorders>
      </w:tblPr>
      <w:tblGrid>
        <w:gridCol w:w="2963"/>
        <w:gridCol w:w="3097"/>
        <w:gridCol w:w="8484"/>
      </w:tblGrid>
      <w:tr>
        <w:trPr>
          <w:cantSplit/>
          <w:tblHeader w:val="1"/>
        </w:trPr>
        <w:tc>
          <w:tcPr>
            <w:tcW w:type="dxa" w:w="2963"/>
            <w:vAlign w:val="center"/>
            <w:shd w:fill="D9EAF7" w:val="clear"/>
            <w:tcMar>
              <w:top w:w="45" w:type="dxa"/>
              <w:start w:w="55" w:type="dxa"/>
              <w:bottom w:w="45" w:type="dxa"/>
              <w:end w:w="55" w:type="dxa"/>
            </w:tcMar>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pPr>
            <w:r>
              <w:rPr>
                <w:i w:val="0"/>
                <w:rFonts w:ascii="Arial" w:hAnsi="Arial" w:eastAsia="Arial" w:cs="Arial"/>
                <w:sz w:val="20"/>
                <w:szCs w:val="20"/>
                <w:b/>
              </w:rPr>
              <w:t>Architecture region</w:t>
            </w:r>
          </w:p>
        </w:tc>
        <w:tc>
          <w:tcPr>
            <w:tcW w:type="dxa" w:w="3097"/>
            <w:vAlign w:val="center"/>
            <w:shd w:fill="D9EAF7" w:val="clear"/>
            <w:tcMar>
              <w:top w:w="45" w:type="dxa"/>
              <w:start w:w="55" w:type="dxa"/>
              <w:bottom w:w="45" w:type="dxa"/>
              <w:end w:w="55" w:type="dxa"/>
            </w:tcMar>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pPr>
            <w:r>
              <w:rPr>
                <w:i w:val="0"/>
                <w:rFonts w:ascii="Arial" w:hAnsi="Arial" w:eastAsia="Arial" w:cs="Arial"/>
                <w:sz w:val="20"/>
                <w:szCs w:val="20"/>
                <w:b/>
              </w:rPr>
              <w:t>Canonical home</w:t>
            </w:r>
          </w:p>
        </w:tc>
        <w:tc>
          <w:tcPr>
            <w:tcW w:type="dxa" w:w="8484"/>
            <w:vAlign w:val="center"/>
            <w:shd w:fill="D9EAF7" w:val="clear"/>
            <w:tcMar>
              <w:top w:w="45" w:type="dxa"/>
              <w:start w:w="55" w:type="dxa"/>
              <w:bottom w:w="45" w:type="dxa"/>
              <w:end w:w="55" w:type="dxa"/>
            </w:tcMar>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pPr>
            <w:r>
              <w:rPr>
                <w:i w:val="0"/>
                <w:rFonts w:ascii="Arial" w:hAnsi="Arial" w:eastAsia="Arial" w:cs="Arial"/>
                <w:sz w:val="20"/>
                <w:szCs w:val="20"/>
                <w:b/>
              </w:rPr>
              <w:t>Use in support documents</w:t>
            </w:r>
          </w:p>
        </w:tc>
      </w:tr>
      <w:tr>
        <w:trPr>
          <w:cantSplit/>
        </w:trPr>
        <w:tc>
          <w:tcPr>
            <w:tcW w:type="dxa" w:w="2963"/>
            <w:vAlign w:val="top"/>
            <w:tcMar>
              <w:top w:w="45" w:type="dxa"/>
              <w:start w:w="55" w:type="dxa"/>
              <w:bottom w:w="45" w:type="dxa"/>
              <w:end w:w="55" w:type="dxa"/>
            </w:tcMar>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line="240" w:lineRule="auto"/>
            </w:pPr>
            <w:r>
              <w:rPr>
                <w:b w:val="0"/>
                <w:i w:val="0"/>
                <w:rFonts w:ascii="Arial" w:hAnsi="Arial" w:eastAsia="Arial" w:cs="Arial"/>
                <w:sz w:val="20"/>
                <w:szCs w:val="20"/>
              </w:rPr>
              <w:t>Inherited informational architecture</w:t>
            </w:r>
          </w:p>
        </w:tc>
        <w:tc>
          <w:tcPr>
            <w:tcW w:type="dxa" w:w="3097"/>
            <w:vAlign w:val="top"/>
            <w:tcMar>
              <w:top w:w="45" w:type="dxa"/>
              <w:start w:w="55" w:type="dxa"/>
              <w:bottom w:w="45" w:type="dxa"/>
              <w:end w:w="55" w:type="dxa"/>
            </w:tcMar>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line="240" w:lineRule="auto"/>
            </w:pPr>
            <w:r>
              <w:rPr>
                <w:b w:val="0"/>
                <w:i w:val="0"/>
                <w:rFonts w:ascii="Arial" w:hAnsi="Arial" w:eastAsia="Arial" w:cs="Arial"/>
                <w:sz w:val="20"/>
                <w:szCs w:val="20"/>
              </w:rPr>
              <w:t>Part 2a primary papers / internal Part 2a support section</w:t>
            </w:r>
          </w:p>
        </w:tc>
        <w:tc>
          <w:tcPr>
            <w:tcW w:type="dxa" w:w="8484"/>
            <w:vAlign w:val="top"/>
            <w:tcMar>
              <w:top w:w="45" w:type="dxa"/>
              <w:start w:w="55" w:type="dxa"/>
              <w:bottom w:w="45" w:type="dxa"/>
              <w:end w:w="55" w:type="dxa"/>
            </w:tcMar>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line="240" w:lineRule="auto"/>
            </w:pPr>
            <w:r>
              <w:rPr>
                <w:b w:val="0"/>
                <w:i w:val="0"/>
                <w:rFonts w:ascii="Arial" w:hAnsi="Arial" w:eastAsia="Arial" w:cs="Arial"/>
                <w:sz w:val="20"/>
                <w:szCs w:val="20"/>
              </w:rPr>
              <w:t>Inherit RRP, OP, OA, OR, RAS, RSD, signal, target/model/residual, and local locus discipline. Use Paper 1c physical and derived relations as explicit support cross-checks, not redefinitions of the six Part 2b papers.</w:t>
            </w:r>
          </w:p>
        </w:tc>
      </w:tr>
      <w:tr>
        <w:trPr>
          <w:cantSplit/>
        </w:trPr>
        <w:tc>
          <w:tcPr>
            <w:tcW w:type="dxa" w:w="2963"/>
            <w:vAlign w:val="top"/>
            <w:tcMar>
              <w:top w:w="45" w:type="dxa"/>
              <w:start w:w="55" w:type="dxa"/>
              <w:bottom w:w="45" w:type="dxa"/>
              <w:end w:w="55" w:type="dxa"/>
            </w:tcMar>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line="240" w:lineRule="auto"/>
            </w:pPr>
            <w:r>
              <w:rPr>
                <w:b w:val="0"/>
                <w:i w:val="0"/>
                <w:rFonts w:ascii="Arial" w:hAnsi="Arial" w:eastAsia="Arial" w:cs="Arial"/>
                <w:sz w:val="20"/>
                <w:szCs w:val="20"/>
              </w:rPr>
              <w:t>Knowledge threshold and ladder</w:t>
            </w:r>
          </w:p>
        </w:tc>
        <w:tc>
          <w:tcPr>
            <w:tcW w:type="dxa" w:w="3097"/>
            <w:vAlign w:val="top"/>
            <w:tcMar>
              <w:top w:w="45" w:type="dxa"/>
              <w:start w:w="55" w:type="dxa"/>
              <w:bottom w:w="45" w:type="dxa"/>
              <w:end w:w="55" w:type="dxa"/>
            </w:tcMar>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line="240" w:lineRule="auto"/>
            </w:pPr>
            <w:r>
              <w:rPr>
                <w:b w:val="0"/>
                <w:i w:val="0"/>
                <w:rFonts w:ascii="Arial" w:hAnsi="Arial" w:eastAsia="Arial" w:cs="Arial"/>
                <w:sz w:val="20"/>
                <w:szCs w:val="20"/>
              </w:rPr>
              <w:t>Paper 2</w:t>
            </w:r>
          </w:p>
        </w:tc>
        <w:tc>
          <w:tcPr>
            <w:tcW w:type="dxa" w:w="8484"/>
            <w:vAlign w:val="top"/>
            <w:tcMar>
              <w:top w:w="45" w:type="dxa"/>
              <w:start w:w="55" w:type="dxa"/>
              <w:bottom w:w="45" w:type="dxa"/>
              <w:end w:w="55" w:type="dxa"/>
            </w:tcMar>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line="240" w:lineRule="auto"/>
            </w:pPr>
            <w:r>
              <w:rPr>
                <w:b w:val="0"/>
                <w:i w:val="0"/>
                <w:rFonts w:ascii="Arial" w:hAnsi="Arial" w:eastAsia="Arial" w:cs="Arial"/>
                <w:sz w:val="20"/>
                <w:szCs w:val="20"/>
              </w:rPr>
              <w:t>Use Paper 2 for retained distinction, TK, KIP, and NTK; do not treat record-status as warrant.</w:t>
            </w:r>
          </w:p>
        </w:tc>
      </w:tr>
      <w:tr>
        <w:trPr>
          <w:cantSplit/>
        </w:trPr>
        <w:tc>
          <w:tcPr>
            <w:tcW w:type="dxa" w:w="2963"/>
            <w:vAlign w:val="top"/>
            <w:tcMar>
              <w:top w:w="45" w:type="dxa"/>
              <w:start w:w="55" w:type="dxa"/>
              <w:bottom w:w="45" w:type="dxa"/>
              <w:end w:w="55" w:type="dxa"/>
            </w:tcMar>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line="240" w:lineRule="auto"/>
            </w:pPr>
            <w:r>
              <w:rPr>
                <w:b w:val="0"/>
                <w:i w:val="0"/>
                <w:rFonts w:ascii="Arial" w:hAnsi="Arial" w:eastAsia="Arial" w:cs="Arial"/>
                <w:sz w:val="20"/>
                <w:szCs w:val="20"/>
              </w:rPr>
              <w:t>Intelligence threshold</w:t>
            </w:r>
          </w:p>
        </w:tc>
        <w:tc>
          <w:tcPr>
            <w:tcW w:type="dxa" w:w="3097"/>
            <w:vAlign w:val="top"/>
            <w:tcMar>
              <w:top w:w="45" w:type="dxa"/>
              <w:start w:w="55" w:type="dxa"/>
              <w:bottom w:w="45" w:type="dxa"/>
              <w:end w:w="55" w:type="dxa"/>
            </w:tcMar>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line="240" w:lineRule="auto"/>
            </w:pPr>
            <w:r>
              <w:rPr>
                <w:b w:val="0"/>
                <w:i w:val="0"/>
                <w:rFonts w:ascii="Arial" w:hAnsi="Arial" w:eastAsia="Arial" w:cs="Arial"/>
                <w:sz w:val="20"/>
                <w:szCs w:val="20"/>
              </w:rPr>
              <w:t>Paper 3</w:t>
            </w:r>
          </w:p>
        </w:tc>
        <w:tc>
          <w:tcPr>
            <w:tcW w:type="dxa" w:w="8484"/>
            <w:vAlign w:val="top"/>
            <w:tcMar>
              <w:top w:w="45" w:type="dxa"/>
              <w:start w:w="55" w:type="dxa"/>
              <w:bottom w:w="45" w:type="dxa"/>
              <w:end w:w="55" w:type="dxa"/>
            </w:tcMar>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line="240" w:lineRule="auto"/>
            </w:pPr>
            <w:r>
              <w:rPr>
                <w:b w:val="0"/>
                <w:i w:val="0"/>
                <w:rFonts w:ascii="Arial" w:hAnsi="Arial" w:eastAsia="Arial" w:cs="Arial"/>
                <w:sz w:val="20"/>
                <w:szCs w:val="20"/>
              </w:rPr>
              <w:t>Use applied distinction and downstream trajectory selection by a locus; do not use success or usefulness as substitutes.</w:t>
            </w:r>
          </w:p>
        </w:tc>
      </w:tr>
      <w:tr>
        <w:trPr>
          <w:cantSplit/>
        </w:trPr>
        <w:tc>
          <w:tcPr>
            <w:tcW w:type="dxa" w:w="2963"/>
            <w:vAlign w:val="top"/>
            <w:tcMar>
              <w:top w:w="45" w:type="dxa"/>
              <w:start w:w="55" w:type="dxa"/>
              <w:bottom w:w="45" w:type="dxa"/>
              <w:end w:w="55" w:type="dxa"/>
            </w:tcMar>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line="240" w:lineRule="auto"/>
            </w:pPr>
            <w:r>
              <w:rPr>
                <w:b w:val="0"/>
                <w:i w:val="0"/>
                <w:rFonts w:ascii="Arial" w:hAnsi="Arial" w:eastAsia="Arial" w:cs="Arial"/>
                <w:sz w:val="20"/>
                <w:szCs w:val="20"/>
              </w:rPr>
              <w:t>Information provenance</w:t>
            </w:r>
          </w:p>
        </w:tc>
        <w:tc>
          <w:tcPr>
            <w:tcW w:type="dxa" w:w="3097"/>
            <w:vAlign w:val="top"/>
            <w:tcMar>
              <w:top w:w="45" w:type="dxa"/>
              <w:start w:w="55" w:type="dxa"/>
              <w:bottom w:w="45" w:type="dxa"/>
              <w:end w:w="55" w:type="dxa"/>
            </w:tcMar>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line="240" w:lineRule="auto"/>
            </w:pPr>
            <w:r>
              <w:rPr>
                <w:b w:val="0"/>
                <w:i w:val="0"/>
                <w:rFonts w:ascii="Arial" w:hAnsi="Arial" w:eastAsia="Arial" w:cs="Arial"/>
                <w:sz w:val="20"/>
                <w:szCs w:val="20"/>
              </w:rPr>
              <w:t>Paper 3</w:t>
            </w:r>
          </w:p>
        </w:tc>
        <w:tc>
          <w:tcPr>
            <w:tcW w:type="dxa" w:w="8484"/>
            <w:vAlign w:val="top"/>
            <w:tcMar>
              <w:top w:w="45" w:type="dxa"/>
              <w:start w:w="55" w:type="dxa"/>
              <w:bottom w:w="45" w:type="dxa"/>
              <w:end w:w="55" w:type="dxa"/>
            </w:tcMar>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line="240" w:lineRule="auto"/>
            </w:pPr>
            <w:r>
              <w:rPr>
                <w:b w:val="0"/>
                <w:i w:val="0"/>
                <w:rFonts w:ascii="Arial" w:hAnsi="Arial" w:eastAsia="Arial" w:cs="Arial"/>
                <w:sz w:val="20"/>
                <w:szCs w:val="20"/>
              </w:rPr>
              <w:t>Made status is fixed by the producing locus; later encounter establishes access and use, not provenance.</w:t>
            </w:r>
          </w:p>
        </w:tc>
      </w:tr>
      <w:tr>
        <w:trPr>
          <w:cantSplit/>
        </w:trPr>
        <w:tc>
          <w:tcPr>
            <w:tcW w:type="dxa" w:w="2963"/>
            <w:vAlign w:val="top"/>
            <w:tcMar>
              <w:top w:w="45" w:type="dxa"/>
              <w:start w:w="55" w:type="dxa"/>
              <w:bottom w:w="45" w:type="dxa"/>
              <w:end w:w="55" w:type="dxa"/>
            </w:tcMar>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line="240" w:lineRule="auto"/>
            </w:pPr>
            <w:r>
              <w:rPr>
                <w:b w:val="0"/>
                <w:i w:val="0"/>
                <w:rFonts w:ascii="Arial" w:hAnsi="Arial" w:eastAsia="Arial" w:cs="Arial"/>
                <w:sz w:val="20"/>
                <w:szCs w:val="20"/>
              </w:rPr>
              <w:t>Passive and active intelligence</w:t>
            </w:r>
          </w:p>
        </w:tc>
        <w:tc>
          <w:tcPr>
            <w:tcW w:type="dxa" w:w="3097"/>
            <w:vAlign w:val="top"/>
            <w:tcMar>
              <w:top w:w="45" w:type="dxa"/>
              <w:start w:w="55" w:type="dxa"/>
              <w:bottom w:w="45" w:type="dxa"/>
              <w:end w:w="55" w:type="dxa"/>
            </w:tcMar>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line="240" w:lineRule="auto"/>
            </w:pPr>
            <w:r>
              <w:rPr>
                <w:b w:val="0"/>
                <w:i w:val="0"/>
                <w:rFonts w:ascii="Arial" w:hAnsi="Arial" w:eastAsia="Arial" w:cs="Arial"/>
                <w:sz w:val="20"/>
                <w:szCs w:val="20"/>
              </w:rPr>
              <w:t>Paper 3</w:t>
            </w:r>
          </w:p>
        </w:tc>
        <w:tc>
          <w:tcPr>
            <w:tcW w:type="dxa" w:w="8484"/>
            <w:vAlign w:val="top"/>
            <w:tcMar>
              <w:top w:w="45" w:type="dxa"/>
              <w:start w:w="55" w:type="dxa"/>
              <w:bottom w:w="45" w:type="dxa"/>
              <w:end w:w="55" w:type="dxa"/>
            </w:tcMar>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line="240" w:lineRule="auto"/>
            </w:pPr>
            <w:r>
              <w:rPr>
                <w:b w:val="0"/>
                <w:i w:val="0"/>
                <w:rFonts w:ascii="Arial" w:hAnsi="Arial" w:eastAsia="Arial" w:cs="Arial"/>
                <w:sz w:val="20"/>
                <w:szCs w:val="20"/>
              </w:rPr>
              <w:t>Keep made distinction reused separate from current distinction-conditioned search, regulation, repair, inhibition, reallocation, recalibration, selection, or control.</w:t>
            </w:r>
          </w:p>
        </w:tc>
      </w:tr>
      <w:tr>
        <w:trPr>
          <w:cantSplit/>
        </w:trPr>
        <w:tc>
          <w:tcPr>
            <w:tcW w:type="dxa" w:w="2963"/>
            <w:vAlign w:val="top"/>
            <w:tcMar>
              <w:top w:w="45" w:type="dxa"/>
              <w:start w:w="55" w:type="dxa"/>
              <w:bottom w:w="45" w:type="dxa"/>
              <w:end w:w="55" w:type="dxa"/>
            </w:tcMar>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line="240" w:lineRule="auto"/>
            </w:pPr>
            <w:r>
              <w:rPr>
                <w:b w:val="0"/>
                <w:i w:val="0"/>
                <w:rFonts w:ascii="Arial" w:hAnsi="Arial" w:eastAsia="Arial" w:cs="Arial"/>
                <w:sz w:val="20"/>
                <w:szCs w:val="20"/>
              </w:rPr>
              <w:t>Non-trivial comparator discipline</w:t>
            </w:r>
          </w:p>
        </w:tc>
        <w:tc>
          <w:tcPr>
            <w:tcW w:type="dxa" w:w="3097"/>
            <w:vAlign w:val="top"/>
            <w:tcMar>
              <w:top w:w="45" w:type="dxa"/>
              <w:start w:w="55" w:type="dxa"/>
              <w:bottom w:w="45" w:type="dxa"/>
              <w:end w:w="55" w:type="dxa"/>
            </w:tcMar>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line="240" w:lineRule="auto"/>
            </w:pPr>
            <w:r>
              <w:rPr>
                <w:b w:val="0"/>
                <w:i w:val="0"/>
                <w:rFonts w:ascii="Arial" w:hAnsi="Arial" w:eastAsia="Arial" w:cs="Arial"/>
                <w:sz w:val="20"/>
                <w:szCs w:val="20"/>
              </w:rPr>
              <w:t>Papers 2-4; inherited Part 1 control</w:t>
            </w:r>
          </w:p>
        </w:tc>
        <w:tc>
          <w:tcPr>
            <w:tcW w:type="dxa" w:w="8484"/>
            <w:vAlign w:val="top"/>
            <w:tcMar>
              <w:top w:w="45" w:type="dxa"/>
              <w:start w:w="55" w:type="dxa"/>
              <w:bottom w:w="45" w:type="dxa"/>
              <w:end w:w="55" w:type="dxa"/>
            </w:tcMar>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line="240" w:lineRule="auto"/>
            </w:pPr>
            <w:r>
              <w:rPr>
                <w:b w:val="0"/>
                <w:i w:val="0"/>
                <w:rFonts w:ascii="Arial" w:hAnsi="Arial" w:eastAsia="Arial" w:cs="Arial"/>
                <w:sz w:val="20"/>
                <w:szCs w:val="20"/>
              </w:rPr>
              <w:t>Use BD-family comparators and IPL localisation where realised downstream dependence is claimed.</w:t>
            </w:r>
          </w:p>
        </w:tc>
      </w:tr>
      <w:tr>
        <w:trPr>
          <w:cantSplit/>
        </w:trPr>
        <w:tc>
          <w:tcPr>
            <w:tcW w:type="dxa" w:w="2963"/>
            <w:vAlign w:val="top"/>
            <w:tcMar>
              <w:top w:w="45" w:type="dxa"/>
              <w:start w:w="55" w:type="dxa"/>
              <w:bottom w:w="45" w:type="dxa"/>
              <w:end w:w="55" w:type="dxa"/>
            </w:tcMar>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line="240" w:lineRule="auto"/>
            </w:pPr>
            <w:r>
              <w:rPr>
                <w:b w:val="0"/>
                <w:i w:val="0"/>
                <w:rFonts w:ascii="Arial" w:hAnsi="Arial" w:eastAsia="Arial" w:cs="Arial"/>
                <w:sz w:val="20"/>
                <w:szCs w:val="20"/>
              </w:rPr>
              <w:t>Observation threshold and ladder</w:t>
            </w:r>
          </w:p>
        </w:tc>
        <w:tc>
          <w:tcPr>
            <w:tcW w:type="dxa" w:w="3097"/>
            <w:vAlign w:val="top"/>
            <w:tcMar>
              <w:top w:w="45" w:type="dxa"/>
              <w:start w:w="55" w:type="dxa"/>
              <w:bottom w:w="45" w:type="dxa"/>
              <w:end w:w="55" w:type="dxa"/>
            </w:tcMar>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line="240" w:lineRule="auto"/>
            </w:pPr>
            <w:r>
              <w:rPr>
                <w:b w:val="0"/>
                <w:i w:val="0"/>
                <w:rFonts w:ascii="Arial" w:hAnsi="Arial" w:eastAsia="Arial" w:cs="Arial"/>
                <w:sz w:val="20"/>
                <w:szCs w:val="20"/>
              </w:rPr>
              <w:t>Paper 4</w:t>
            </w:r>
          </w:p>
        </w:tc>
        <w:tc>
          <w:tcPr>
            <w:tcW w:type="dxa" w:w="8484"/>
            <w:vAlign w:val="top"/>
            <w:tcMar>
              <w:top w:w="45" w:type="dxa"/>
              <w:start w:w="55" w:type="dxa"/>
              <w:bottom w:w="45" w:type="dxa"/>
              <w:end w:w="55" w:type="dxa"/>
            </w:tcMar>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line="240" w:lineRule="auto"/>
            </w:pPr>
            <w:r>
              <w:rPr>
                <w:b w:val="0"/>
                <w:i w:val="0"/>
                <w:rFonts w:ascii="Arial" w:hAnsi="Arial" w:eastAsia="Arial" w:cs="Arial"/>
                <w:sz w:val="20"/>
                <w:szCs w:val="20"/>
              </w:rPr>
              <w:t>Use OR, RAS, RSD, Pre-TO, TO, OIP, and NTO; do not collapse record, capacity, and realised operation.</w:t>
            </w:r>
          </w:p>
        </w:tc>
      </w:tr>
      <w:tr>
        <w:trPr>
          <w:cantSplit/>
        </w:trPr>
        <w:tc>
          <w:tcPr>
            <w:tcW w:type="dxa" w:w="2963"/>
            <w:vAlign w:val="top"/>
            <w:tcMar>
              <w:top w:w="45" w:type="dxa"/>
              <w:start w:w="55" w:type="dxa"/>
              <w:bottom w:w="45" w:type="dxa"/>
              <w:end w:w="55" w:type="dxa"/>
            </w:tcMar>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line="240" w:lineRule="auto"/>
            </w:pPr>
            <w:r>
              <w:rPr>
                <w:b w:val="0"/>
                <w:i w:val="0"/>
                <w:rFonts w:ascii="Arial" w:hAnsi="Arial" w:eastAsia="Arial" w:cs="Arial"/>
                <w:sz w:val="20"/>
                <w:szCs w:val="20"/>
              </w:rPr>
              <w:t>Observer-status</w:t>
            </w:r>
          </w:p>
        </w:tc>
        <w:tc>
          <w:tcPr>
            <w:tcW w:type="dxa" w:w="3097"/>
            <w:vAlign w:val="top"/>
            <w:tcMar>
              <w:top w:w="45" w:type="dxa"/>
              <w:start w:w="55" w:type="dxa"/>
              <w:bottom w:w="45" w:type="dxa"/>
              <w:end w:w="55" w:type="dxa"/>
            </w:tcMar>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line="240" w:lineRule="auto"/>
            </w:pPr>
            <w:r>
              <w:rPr>
                <w:b w:val="0"/>
                <w:i w:val="0"/>
                <w:rFonts w:ascii="Arial" w:hAnsi="Arial" w:eastAsia="Arial" w:cs="Arial"/>
                <w:sz w:val="20"/>
                <w:szCs w:val="20"/>
              </w:rPr>
              <w:t>Paper 4</w:t>
            </w:r>
          </w:p>
        </w:tc>
        <w:tc>
          <w:tcPr>
            <w:tcW w:type="dxa" w:w="8484"/>
            <w:vAlign w:val="top"/>
            <w:tcMar>
              <w:top w:w="45" w:type="dxa"/>
              <w:start w:w="55" w:type="dxa"/>
              <w:bottom w:w="45" w:type="dxa"/>
              <w:end w:w="55" w:type="dxa"/>
            </w:tcMar>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line="240" w:lineRule="auto"/>
            </w:pPr>
            <w:r>
              <w:rPr>
                <w:b w:val="0"/>
                <w:i w:val="0"/>
                <w:rFonts w:ascii="Arial" w:hAnsi="Arial" w:eastAsia="Arial" w:cs="Arial"/>
                <w:sz w:val="20"/>
                <w:szCs w:val="20"/>
              </w:rPr>
              <w:t>Use observer-locus for grounded consultability and Observer for realised NTO.</w:t>
            </w:r>
          </w:p>
        </w:tc>
      </w:tr>
      <w:tr>
        <w:trPr>
          <w:cantSplit/>
        </w:trPr>
        <w:tc>
          <w:tcPr>
            <w:tcW w:type="dxa" w:w="2963"/>
            <w:vAlign w:val="top"/>
            <w:tcMar>
              <w:top w:w="45" w:type="dxa"/>
              <w:start w:w="55" w:type="dxa"/>
              <w:bottom w:w="45" w:type="dxa"/>
              <w:end w:w="55" w:type="dxa"/>
            </w:tcMar>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line="240" w:lineRule="auto"/>
            </w:pPr>
            <w:r>
              <w:rPr>
                <w:b w:val="0"/>
                <w:i w:val="0"/>
                <w:rFonts w:ascii="Arial" w:hAnsi="Arial" w:eastAsia="Arial" w:cs="Arial"/>
                <w:sz w:val="20"/>
                <w:szCs w:val="20"/>
              </w:rPr>
              <w:t>Abstraction condition</w:t>
            </w:r>
          </w:p>
        </w:tc>
        <w:tc>
          <w:tcPr>
            <w:tcW w:type="dxa" w:w="3097"/>
            <w:vAlign w:val="top"/>
            <w:tcMar>
              <w:top w:w="45" w:type="dxa"/>
              <w:start w:w="55" w:type="dxa"/>
              <w:bottom w:w="45" w:type="dxa"/>
              <w:end w:w="55" w:type="dxa"/>
            </w:tcMar>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line="240" w:lineRule="auto"/>
            </w:pPr>
            <w:r>
              <w:rPr>
                <w:b w:val="0"/>
                <w:i w:val="0"/>
                <w:rFonts w:ascii="Arial" w:hAnsi="Arial" w:eastAsia="Arial" w:cs="Arial"/>
                <w:sz w:val="20"/>
                <w:szCs w:val="20"/>
              </w:rPr>
              <w:t>Paper 4a</w:t>
            </w:r>
          </w:p>
        </w:tc>
        <w:tc>
          <w:tcPr>
            <w:tcW w:type="dxa" w:w="8484"/>
            <w:vAlign w:val="top"/>
            <w:tcMar>
              <w:top w:w="45" w:type="dxa"/>
              <w:start w:w="55" w:type="dxa"/>
              <w:bottom w:w="45" w:type="dxa"/>
              <w:end w:w="55" w:type="dxa"/>
            </w:tcMar>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line="240" w:lineRule="auto"/>
            </w:pPr>
            <w:r>
              <w:rPr>
                <w:b w:val="0"/>
                <w:i w:val="0"/>
                <w:rFonts w:ascii="Arial" w:hAnsi="Arial" w:eastAsia="Arial" w:cs="Arial"/>
                <w:sz w:val="20"/>
                <w:szCs w:val="20"/>
              </w:rPr>
              <w:t>Use cut, abstraction regime, perspective, and event-horizon profile; do not treat perspective as opinion.</w:t>
            </w:r>
          </w:p>
        </w:tc>
      </w:tr>
      <w:tr>
        <w:trPr>
          <w:cantSplit/>
        </w:trPr>
        <w:tc>
          <w:tcPr>
            <w:tcW w:type="dxa" w:w="2963"/>
            <w:vAlign w:val="top"/>
            <w:tcMar>
              <w:top w:w="45" w:type="dxa"/>
              <w:start w:w="55" w:type="dxa"/>
              <w:bottom w:w="45" w:type="dxa"/>
              <w:end w:w="55" w:type="dxa"/>
            </w:tcMar>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line="240" w:lineRule="auto"/>
            </w:pPr>
            <w:r>
              <w:rPr>
                <w:b w:val="0"/>
                <w:i w:val="0"/>
                <w:rFonts w:ascii="Arial" w:hAnsi="Arial" w:eastAsia="Arial" w:cs="Arial"/>
                <w:sz w:val="20"/>
                <w:szCs w:val="20"/>
              </w:rPr>
              <w:t>Abstraction Gap and relational uncertainty</w:t>
            </w:r>
          </w:p>
        </w:tc>
        <w:tc>
          <w:tcPr>
            <w:tcW w:type="dxa" w:w="3097"/>
            <w:vAlign w:val="top"/>
            <w:tcMar>
              <w:top w:w="45" w:type="dxa"/>
              <w:start w:w="55" w:type="dxa"/>
              <w:bottom w:w="45" w:type="dxa"/>
              <w:end w:w="55" w:type="dxa"/>
            </w:tcMar>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line="240" w:lineRule="auto"/>
            </w:pPr>
            <w:r>
              <w:rPr>
                <w:b w:val="0"/>
                <w:i w:val="0"/>
                <w:rFonts w:ascii="Arial" w:hAnsi="Arial" w:eastAsia="Arial" w:cs="Arial"/>
                <w:sz w:val="20"/>
                <w:szCs w:val="20"/>
              </w:rPr>
              <w:t>Paper 4a</w:t>
            </w:r>
          </w:p>
        </w:tc>
        <w:tc>
          <w:tcPr>
            <w:tcW w:type="dxa" w:w="8484"/>
            <w:vAlign w:val="top"/>
            <w:tcMar>
              <w:top w:w="45" w:type="dxa"/>
              <w:start w:w="55" w:type="dxa"/>
              <w:bottom w:w="45" w:type="dxa"/>
              <w:end w:w="55" w:type="dxa"/>
            </w:tcMar>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line="240" w:lineRule="auto"/>
            </w:pPr>
            <w:r>
              <w:rPr>
                <w:b w:val="0"/>
                <w:i w:val="0"/>
                <w:rFonts w:ascii="Arial" w:hAnsi="Arial" w:eastAsia="Arial" w:cs="Arial"/>
                <w:sz w:val="20"/>
                <w:szCs w:val="20"/>
              </w:rPr>
              <w:t>Use for discrepancy and uncertainty about preservation; neither is automatically error.</w:t>
            </w:r>
          </w:p>
        </w:tc>
      </w:tr>
      <w:tr>
        <w:trPr>
          <w:cantSplit/>
        </w:trPr>
        <w:tc>
          <w:tcPr>
            <w:tcW w:type="dxa" w:w="2963"/>
            <w:vAlign w:val="top"/>
            <w:tcMar>
              <w:top w:w="45" w:type="dxa"/>
              <w:start w:w="55" w:type="dxa"/>
              <w:bottom w:w="45" w:type="dxa"/>
              <w:end w:w="55" w:type="dxa"/>
            </w:tcMar>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line="240" w:lineRule="auto"/>
            </w:pPr>
            <w:r>
              <w:rPr>
                <w:b w:val="0"/>
                <w:i w:val="0"/>
                <w:rFonts w:ascii="Arial" w:hAnsi="Arial" w:eastAsia="Arial" w:cs="Arial"/>
                <w:sz w:val="20"/>
                <w:szCs w:val="20"/>
              </w:rPr>
              <w:t>Objectivity</w:t>
            </w:r>
          </w:p>
        </w:tc>
        <w:tc>
          <w:tcPr>
            <w:tcW w:type="dxa" w:w="3097"/>
            <w:vAlign w:val="top"/>
            <w:tcMar>
              <w:top w:w="45" w:type="dxa"/>
              <w:start w:w="55" w:type="dxa"/>
              <w:bottom w:w="45" w:type="dxa"/>
              <w:end w:w="55" w:type="dxa"/>
            </w:tcMar>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line="240" w:lineRule="auto"/>
            </w:pPr>
            <w:r>
              <w:rPr>
                <w:b w:val="0"/>
                <w:i w:val="0"/>
                <w:rFonts w:ascii="Arial" w:hAnsi="Arial" w:eastAsia="Arial" w:cs="Arial"/>
                <w:sz w:val="20"/>
                <w:szCs w:val="20"/>
              </w:rPr>
              <w:t>Paper 4a</w:t>
            </w:r>
          </w:p>
        </w:tc>
        <w:tc>
          <w:tcPr>
            <w:tcW w:type="dxa" w:w="8484"/>
            <w:vAlign w:val="top"/>
            <w:tcMar>
              <w:top w:w="45" w:type="dxa"/>
              <w:start w:w="55" w:type="dxa"/>
              <w:bottom w:w="45" w:type="dxa"/>
              <w:end w:w="55" w:type="dxa"/>
            </w:tcMar>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line="240" w:lineRule="auto"/>
            </w:pPr>
            <w:r>
              <w:rPr>
                <w:b w:val="0"/>
                <w:i w:val="0"/>
                <w:rFonts w:ascii="Arial" w:hAnsi="Arial" w:eastAsia="Arial" w:cs="Arial"/>
                <w:sz w:val="20"/>
                <w:szCs w:val="20"/>
              </w:rPr>
              <w:t>Use disciplined correction of perspective under constraint, not view-from-nowhere or consensus alone.</w:t>
            </w:r>
          </w:p>
        </w:tc>
      </w:tr>
      <w:tr>
        <w:trPr>
          <w:cantSplit/>
        </w:trPr>
        <w:tc>
          <w:tcPr>
            <w:tcW w:type="dxa" w:w="2963"/>
            <w:vAlign w:val="top"/>
            <w:tcMar>
              <w:top w:w="45" w:type="dxa"/>
              <w:start w:w="55" w:type="dxa"/>
              <w:bottom w:w="45" w:type="dxa"/>
              <w:end w:w="55" w:type="dxa"/>
            </w:tcMar>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line="240" w:lineRule="auto"/>
            </w:pPr>
            <w:r>
              <w:rPr>
                <w:b w:val="0"/>
                <w:i w:val="0"/>
                <w:rFonts w:ascii="Arial" w:hAnsi="Arial" w:eastAsia="Arial" w:cs="Arial"/>
                <w:sz w:val="20"/>
                <w:szCs w:val="20"/>
              </w:rPr>
              <w:t>Scale architecture</w:t>
            </w:r>
          </w:p>
        </w:tc>
        <w:tc>
          <w:tcPr>
            <w:tcW w:type="dxa" w:w="3097"/>
            <w:vAlign w:val="top"/>
            <w:tcMar>
              <w:top w:w="45" w:type="dxa"/>
              <w:start w:w="55" w:type="dxa"/>
              <w:bottom w:w="45" w:type="dxa"/>
              <w:end w:w="55" w:type="dxa"/>
            </w:tcMar>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line="240" w:lineRule="auto"/>
            </w:pPr>
            <w:r>
              <w:rPr>
                <w:b w:val="0"/>
                <w:i w:val="0"/>
                <w:rFonts w:ascii="Arial" w:hAnsi="Arial" w:eastAsia="Arial" w:cs="Arial"/>
                <w:sz w:val="20"/>
                <w:szCs w:val="20"/>
              </w:rPr>
              <w:t>Paper 4b</w:t>
            </w:r>
          </w:p>
        </w:tc>
        <w:tc>
          <w:tcPr>
            <w:tcW w:type="dxa" w:w="8484"/>
            <w:vAlign w:val="top"/>
            <w:tcMar>
              <w:top w:w="45" w:type="dxa"/>
              <w:start w:w="55" w:type="dxa"/>
              <w:bottom w:w="45" w:type="dxa"/>
              <w:end w:w="55" w:type="dxa"/>
            </w:tcMar>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line="240" w:lineRule="auto"/>
            </w:pPr>
            <w:r>
              <w:rPr>
                <w:b w:val="0"/>
                <w:i w:val="0"/>
                <w:rFonts w:ascii="Arial" w:hAnsi="Arial" w:eastAsia="Arial" w:cs="Arial"/>
                <w:sz w:val="20"/>
                <w:szCs w:val="20"/>
              </w:rPr>
              <w:t>Use physical magnitude, reference scale, operative scale, alignment, scale-fixing, and comparability.</w:t>
            </w:r>
          </w:p>
        </w:tc>
      </w:tr>
      <w:tr>
        <w:trPr>
          <w:cantSplit/>
        </w:trPr>
        <w:tc>
          <w:tcPr>
            <w:tcW w:type="dxa" w:w="2963"/>
            <w:vAlign w:val="top"/>
            <w:tcMar>
              <w:top w:w="45" w:type="dxa"/>
              <w:start w:w="55" w:type="dxa"/>
              <w:bottom w:w="45" w:type="dxa"/>
              <w:end w:w="55" w:type="dxa"/>
            </w:tcMar>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line="240" w:lineRule="auto"/>
            </w:pPr>
            <w:r>
              <w:rPr>
                <w:b w:val="0"/>
                <w:i w:val="0"/>
                <w:rFonts w:ascii="Arial" w:hAnsi="Arial" w:eastAsia="Arial" w:cs="Arial"/>
                <w:sz w:val="20"/>
                <w:szCs w:val="20"/>
              </w:rPr>
              <w:t>Measurement and Scale Gap</w:t>
            </w:r>
          </w:p>
        </w:tc>
        <w:tc>
          <w:tcPr>
            <w:tcW w:type="dxa" w:w="3097"/>
            <w:vAlign w:val="top"/>
            <w:tcMar>
              <w:top w:w="45" w:type="dxa"/>
              <w:start w:w="55" w:type="dxa"/>
              <w:bottom w:w="45" w:type="dxa"/>
              <w:end w:w="55" w:type="dxa"/>
            </w:tcMar>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line="240" w:lineRule="auto"/>
            </w:pPr>
            <w:r>
              <w:rPr>
                <w:b w:val="0"/>
                <w:i w:val="0"/>
                <w:rFonts w:ascii="Arial" w:hAnsi="Arial" w:eastAsia="Arial" w:cs="Arial"/>
                <w:sz w:val="20"/>
                <w:szCs w:val="20"/>
              </w:rPr>
              <w:t>Paper 4b</w:t>
            </w:r>
          </w:p>
        </w:tc>
        <w:tc>
          <w:tcPr>
            <w:tcW w:type="dxa" w:w="8484"/>
            <w:vAlign w:val="top"/>
            <w:tcMar>
              <w:top w:w="45" w:type="dxa"/>
              <w:start w:w="55" w:type="dxa"/>
              <w:bottom w:w="45" w:type="dxa"/>
              <w:end w:w="55" w:type="dxa"/>
            </w:tcMar>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line="240" w:lineRule="auto"/>
            </w:pPr>
            <w:r>
              <w:rPr>
                <w:b w:val="0"/>
                <w:i w:val="0"/>
                <w:rFonts w:ascii="Arial" w:hAnsi="Arial" w:eastAsia="Arial" w:cs="Arial"/>
                <w:sz w:val="20"/>
                <w:szCs w:val="20"/>
              </w:rPr>
              <w:t>Use measurement as registration into scale and Scale Gap as scalar misfit; precision alone does not establish alignment.</w:t>
            </w:r>
          </w:p>
        </w:tc>
      </w:tr>
      <w:tr>
        <w:trPr>
          <w:cantSplit/>
        </w:trPr>
        <w:tc>
          <w:tcPr>
            <w:tcW w:type="dxa" w:w="2963"/>
            <w:vAlign w:val="top"/>
            <w:tcMar>
              <w:top w:w="45" w:type="dxa"/>
              <w:start w:w="55" w:type="dxa"/>
              <w:bottom w:w="45" w:type="dxa"/>
              <w:end w:w="55" w:type="dxa"/>
            </w:tcMar>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line="240" w:lineRule="auto"/>
            </w:pPr>
            <w:r>
              <w:rPr>
                <w:b w:val="0"/>
                <w:i w:val="0"/>
                <w:rFonts w:ascii="Arial" w:hAnsi="Arial" w:eastAsia="Arial" w:cs="Arial"/>
                <w:sz w:val="20"/>
                <w:szCs w:val="20"/>
              </w:rPr>
              <w:t>Observation program and descriptor layer</w:t>
            </w:r>
          </w:p>
        </w:tc>
        <w:tc>
          <w:tcPr>
            <w:tcW w:type="dxa" w:w="3097"/>
            <w:vAlign w:val="top"/>
            <w:tcMar>
              <w:top w:w="45" w:type="dxa"/>
              <w:start w:w="55" w:type="dxa"/>
              <w:bottom w:w="45" w:type="dxa"/>
              <w:end w:w="55" w:type="dxa"/>
            </w:tcMar>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line="240" w:lineRule="auto"/>
            </w:pPr>
            <w:r>
              <w:rPr>
                <w:b w:val="0"/>
                <w:i w:val="0"/>
                <w:rFonts w:ascii="Arial" w:hAnsi="Arial" w:eastAsia="Arial" w:cs="Arial"/>
                <w:sz w:val="20"/>
                <w:szCs w:val="20"/>
              </w:rPr>
              <w:t>Paper 4c</w:t>
            </w:r>
          </w:p>
        </w:tc>
        <w:tc>
          <w:tcPr>
            <w:tcW w:type="dxa" w:w="8484"/>
            <w:vAlign w:val="top"/>
            <w:tcMar>
              <w:top w:w="45" w:type="dxa"/>
              <w:start w:w="55" w:type="dxa"/>
              <w:bottom w:w="45" w:type="dxa"/>
              <w:end w:w="55" w:type="dxa"/>
            </w:tcMar>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line="240" w:lineRule="auto"/>
            </w:pPr>
            <w:r>
              <w:rPr>
                <w:b w:val="0"/>
                <w:i w:val="0"/>
                <w:rFonts w:ascii="Arial" w:hAnsi="Arial" w:eastAsia="Arial" w:cs="Arial"/>
                <w:sz w:val="20"/>
                <w:szCs w:val="20"/>
              </w:rPr>
              <w:t>Status first; descriptors grade performance and localise failure after the inherited stack is specified.</w:t>
            </w:r>
          </w:p>
        </w:tc>
      </w:tr>
      <w:tr>
        <w:trPr>
          <w:cantSplit/>
        </w:trPr>
        <w:tc>
          <w:tcPr>
            <w:tcW w:type="dxa" w:w="2963"/>
            <w:vAlign w:val="top"/>
            <w:tcMar>
              <w:top w:w="45" w:type="dxa"/>
              <w:start w:w="55" w:type="dxa"/>
              <w:bottom w:w="45" w:type="dxa"/>
              <w:end w:w="55" w:type="dxa"/>
            </w:tcMar>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line="240" w:lineRule="auto"/>
            </w:pPr>
            <w:r>
              <w:rPr>
                <w:b w:val="0"/>
                <w:i w:val="0"/>
                <w:rFonts w:ascii="Arial" w:hAnsi="Arial" w:eastAsia="Arial" w:cs="Arial"/>
                <w:sz w:val="20"/>
                <w:szCs w:val="20"/>
              </w:rPr>
              <w:t>Operational envelope descriptors</w:t>
            </w:r>
          </w:p>
        </w:tc>
        <w:tc>
          <w:tcPr>
            <w:tcW w:type="dxa" w:w="3097"/>
            <w:vAlign w:val="top"/>
            <w:tcMar>
              <w:top w:w="45" w:type="dxa"/>
              <w:start w:w="55" w:type="dxa"/>
              <w:bottom w:w="45" w:type="dxa"/>
              <w:end w:w="55" w:type="dxa"/>
            </w:tcMar>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line="240" w:lineRule="auto"/>
            </w:pPr>
            <w:r>
              <w:rPr>
                <w:b w:val="0"/>
                <w:i w:val="0"/>
                <w:rFonts w:ascii="Arial" w:hAnsi="Arial" w:eastAsia="Arial" w:cs="Arial"/>
                <w:sz w:val="20"/>
                <w:szCs w:val="20"/>
              </w:rPr>
              <w:t>Paper 4c</w:t>
            </w:r>
          </w:p>
        </w:tc>
        <w:tc>
          <w:tcPr>
            <w:tcW w:type="dxa" w:w="8484"/>
            <w:vAlign w:val="top"/>
            <w:tcMar>
              <w:top w:w="45" w:type="dxa"/>
              <w:start w:w="55" w:type="dxa"/>
              <w:bottom w:w="45" w:type="dxa"/>
              <w:end w:w="55" w:type="dxa"/>
            </w:tcMar>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line="240" w:lineRule="auto"/>
            </w:pPr>
            <w:r>
              <w:rPr>
                <w:b w:val="0"/>
                <w:i w:val="0"/>
                <w:rFonts w:ascii="Arial" w:hAnsi="Arial" w:eastAsia="Arial" w:cs="Arial"/>
                <w:sz w:val="20"/>
                <w:szCs w:val="20"/>
              </w:rPr>
              <w:t>Use OH, CH, RF, OBW, OD, OG, ODr, OL, and OCx only with their specific discriminators.</w:t>
            </w:r>
          </w:p>
        </w:tc>
      </w:tr>
    </w:tbl>
    <w:p>
      <w:pPr>
        <w:rPr>
          <w:rFonts w:ascii="Arial" w:hAnsi="Arial" w:eastAsia="Arial" w:cs="Arial"/>
          <w:sz w:val="22"/>
          <w:szCs w:val="22"/>
        </w:rPr>
        <w:widowControl/>
        <w:spacing w:before="0" w:after="0" w:line="240" w:lineRule="auto"/>
        <w:keepNext/>
      </w:pPr>
      <w:r>
        <w:rPr>
          <w:rFonts w:ascii="Arial" w:hAnsi="Arial" w:eastAsia="Arial" w:cs="Arial"/>
          <w:sz w:val="22"/>
        </w:rPr>
      </w:r>
    </w:p>
    <w:p>
      <w:pPr>
        <w:rPr>
          <w:rFonts w:ascii="Arial" w:hAnsi="Arial" w:eastAsia="Arial" w:cs="Arial"/>
          <w:sz w:val="30"/>
          <w:szCs w:val="30"/>
          <w:b w:val="1"/>
          <w:color w:val="1F4E79"/>
        </w:rPr>
        <w:widowControl/>
        <w:spacing w:before="60" w:after="40" w:line="240" w:lineRule="auto"/>
        <w:pStyle w:val="Heading1"/>
        <w:keepNext/>
        <w:keepLines/>
      </w:pPr>
      <w:r>
        <w:rPr>
          <w:i w:val="0"/>
          <w:rFonts w:ascii="Arial" w:hAnsi="Arial" w:eastAsia="Arial" w:cs="Arial"/>
          <w:sz w:val="30"/>
          <w:szCs w:val="30"/>
          <w:b w:val="1"/>
          <w:color w:val="1F4E79"/>
        </w:rPr>
        <w:t>5. Concept stack</w:t>
      </w:r>
    </w:p>
    <w:tbl>
      <w:tblPr>
        <w:tblStyle w:val="TableGrid"/>
        <w:tblW w:type="dxa" w:w="14544"/>
        <w:jc w:val="center"/>
        <w:tblLayout w:type="fixed"/>
        <w:tblLook w:firstColumn="1" w:firstRow="1" w:lastColumn="0" w:lastRow="0" w:noHBand="0" w:noVBand="1" w:val="04A0"/>
        <w:tblBorders>
          <w:top w:val="single" w:sz="4" w:color="7F7F7F"/>
          <w:left w:val="single" w:sz="4" w:color="7F7F7F"/>
          <w:bottom w:val="single" w:sz="4" w:color="7F7F7F"/>
          <w:right w:val="single" w:sz="4" w:color="7F7F7F"/>
          <w:insideH w:val="single" w:sz="4" w:color="7F7F7F"/>
          <w:insideV w:val="single" w:sz="4" w:color="7F7F7F"/>
        </w:tblBorders>
      </w:tblPr>
      <w:tblGrid>
        <w:gridCol w:w="2644"/>
        <w:gridCol w:w="3305"/>
        <w:gridCol w:w="4628"/>
        <w:gridCol w:w="3967"/>
      </w:tblGrid>
      <w:tr>
        <w:trPr>
          <w:cantSplit/>
          <w:tblHeader w:val="1"/>
        </w:trPr>
        <w:tc>
          <w:tcPr>
            <w:tcW w:type="dxa" w:w="2644"/>
            <w:vAlign w:val="center"/>
            <w:shd w:fill="D9EAF7" w:val="clear"/>
            <w:tcMar>
              <w:top w:w="45" w:type="dxa"/>
              <w:start w:w="55" w:type="dxa"/>
              <w:bottom w:w="45" w:type="dxa"/>
              <w:end w:w="55" w:type="dxa"/>
            </w:tcMar>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pPr>
            <w:r>
              <w:rPr>
                <w:i w:val="0"/>
                <w:rFonts w:ascii="Arial" w:hAnsi="Arial" w:eastAsia="Arial" w:cs="Arial"/>
                <w:sz w:val="20"/>
                <w:szCs w:val="20"/>
                <w:b/>
              </w:rPr>
              <w:t>Layer</w:t>
            </w:r>
          </w:p>
        </w:tc>
        <w:tc>
          <w:tcPr>
            <w:tcW w:type="dxa" w:w="3305"/>
            <w:vAlign w:val="center"/>
            <w:shd w:fill="D9EAF7" w:val="clear"/>
            <w:tcMar>
              <w:top w:w="45" w:type="dxa"/>
              <w:start w:w="55" w:type="dxa"/>
              <w:bottom w:w="45" w:type="dxa"/>
              <w:end w:w="55" w:type="dxa"/>
            </w:tcMar>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pPr>
            <w:r>
              <w:rPr>
                <w:i w:val="0"/>
                <w:rFonts w:ascii="Arial" w:hAnsi="Arial" w:eastAsia="Arial" w:cs="Arial"/>
                <w:sz w:val="20"/>
                <w:szCs w:val="20"/>
                <w:b/>
              </w:rPr>
              <w:t>Function</w:t>
            </w:r>
          </w:p>
        </w:tc>
        <w:tc>
          <w:tcPr>
            <w:tcW w:type="dxa" w:w="4628"/>
            <w:vAlign w:val="center"/>
            <w:shd w:fill="D9EAF7" w:val="clear"/>
            <w:tcMar>
              <w:top w:w="45" w:type="dxa"/>
              <w:start w:w="55" w:type="dxa"/>
              <w:bottom w:w="45" w:type="dxa"/>
              <w:end w:w="55" w:type="dxa"/>
            </w:tcMar>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pPr>
            <w:r>
              <w:rPr>
                <w:i w:val="0"/>
                <w:rFonts w:ascii="Arial" w:hAnsi="Arial" w:eastAsia="Arial" w:cs="Arial"/>
                <w:sz w:val="20"/>
                <w:szCs w:val="20"/>
                <w:b/>
              </w:rPr>
              <w:t>Core concepts</w:t>
            </w:r>
          </w:p>
        </w:tc>
        <w:tc>
          <w:tcPr>
            <w:tcW w:type="dxa" w:w="3967"/>
            <w:vAlign w:val="center"/>
            <w:shd w:fill="D9EAF7" w:val="clear"/>
            <w:tcMar>
              <w:top w:w="45" w:type="dxa"/>
              <w:start w:w="55" w:type="dxa"/>
              <w:bottom w:w="45" w:type="dxa"/>
              <w:end w:w="55" w:type="dxa"/>
            </w:tcMar>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pPr>
            <w:r>
              <w:rPr>
                <w:i w:val="0"/>
                <w:rFonts w:ascii="Arial" w:hAnsi="Arial" w:eastAsia="Arial" w:cs="Arial"/>
                <w:sz w:val="20"/>
                <w:szCs w:val="20"/>
                <w:b/>
              </w:rPr>
              <w:t>Guardrail</w:t>
            </w:r>
          </w:p>
        </w:tc>
      </w:tr>
      <w:tr>
        <w:trPr>
          <w:cantSplit/>
        </w:trPr>
        <w:tc>
          <w:tcPr>
            <w:tcW w:type="dxa" w:w="2644"/>
            <w:vAlign w:val="top"/>
            <w:tcMar>
              <w:top w:w="45" w:type="dxa"/>
              <w:start w:w="55" w:type="dxa"/>
              <w:bottom w:w="45" w:type="dxa"/>
              <w:end w:w="55" w:type="dxa"/>
            </w:tcMar>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line="240" w:lineRule="auto"/>
            </w:pPr>
            <w:r>
              <w:rPr>
                <w:b w:val="0"/>
                <w:i w:val="0"/>
                <w:rFonts w:ascii="Arial" w:hAnsi="Arial" w:eastAsia="Arial" w:cs="Arial"/>
                <w:sz w:val="20"/>
                <w:szCs w:val="20"/>
              </w:rPr>
              <w:t>1. Inherited access architecture</w:t>
            </w:r>
          </w:p>
        </w:tc>
        <w:tc>
          <w:tcPr>
            <w:tcW w:type="dxa" w:w="3305"/>
            <w:vAlign w:val="top"/>
            <w:tcMar>
              <w:top w:w="45" w:type="dxa"/>
              <w:start w:w="55" w:type="dxa"/>
              <w:bottom w:w="45" w:type="dxa"/>
              <w:end w:w="55" w:type="dxa"/>
            </w:tcMar>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line="240" w:lineRule="auto"/>
            </w:pPr>
            <w:r>
              <w:rPr>
                <w:b w:val="0"/>
                <w:i w:val="0"/>
                <w:rFonts w:ascii="Arial" w:hAnsi="Arial" w:eastAsia="Arial" w:cs="Arial"/>
                <w:sz w:val="20"/>
                <w:szCs w:val="20"/>
              </w:rPr>
              <w:t>Makes distinction evaluable for a locus.</w:t>
            </w:r>
          </w:p>
        </w:tc>
        <w:tc>
          <w:tcPr>
            <w:tcW w:type="dxa" w:w="4628"/>
            <w:vAlign w:val="top"/>
            <w:tcMar>
              <w:top w:w="45" w:type="dxa"/>
              <w:start w:w="55" w:type="dxa"/>
              <w:bottom w:w="45" w:type="dxa"/>
              <w:end w:w="55" w:type="dxa"/>
            </w:tcMar>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line="240" w:lineRule="auto"/>
            </w:pPr>
            <w:r>
              <w:rPr>
                <w:b w:val="0"/>
                <w:i w:val="0"/>
                <w:rFonts w:ascii="Arial" w:hAnsi="Arial" w:eastAsia="Arial" w:cs="Arial"/>
                <w:sz w:val="20"/>
                <w:szCs w:val="20"/>
              </w:rPr>
              <w:t>RRP; OP; OA; OR; RAS; RSD; signal; reference conditions.</w:t>
            </w:r>
          </w:p>
        </w:tc>
        <w:tc>
          <w:tcPr>
            <w:tcW w:type="dxa" w:w="3967"/>
            <w:vAlign w:val="top"/>
            <w:tcMar>
              <w:top w:w="45" w:type="dxa"/>
              <w:start w:w="55" w:type="dxa"/>
              <w:bottom w:w="45" w:type="dxa"/>
              <w:end w:w="55" w:type="dxa"/>
            </w:tcMar>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line="240" w:lineRule="auto"/>
            </w:pPr>
            <w:r>
              <w:rPr>
                <w:b w:val="0"/>
                <w:i w:val="0"/>
                <w:rFonts w:ascii="Arial" w:hAnsi="Arial" w:eastAsia="Arial" w:cs="Arial"/>
                <w:sz w:val="20"/>
                <w:szCs w:val="20"/>
              </w:rPr>
              <w:t>Do not redefine inherited terms or treat physical difference, persistence, or external interpretation as sufficient.</w:t>
            </w:r>
          </w:p>
        </w:tc>
      </w:tr>
      <w:tr>
        <w:trPr>
          <w:cantSplit/>
        </w:trPr>
        <w:tc>
          <w:tcPr>
            <w:tcW w:type="dxa" w:w="2644"/>
            <w:vAlign w:val="top"/>
            <w:tcMar>
              <w:top w:w="45" w:type="dxa"/>
              <w:start w:w="55" w:type="dxa"/>
              <w:bottom w:w="45" w:type="dxa"/>
              <w:end w:w="55" w:type="dxa"/>
            </w:tcMar>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line="240" w:lineRule="auto"/>
            </w:pPr>
            <w:r>
              <w:rPr>
                <w:b w:val="0"/>
                <w:i w:val="0"/>
                <w:rFonts w:ascii="Arial" w:hAnsi="Arial" w:eastAsia="Arial" w:cs="Arial"/>
                <w:sz w:val="20"/>
                <w:szCs w:val="20"/>
              </w:rPr>
              <w:t>2. Retained distinction</w:t>
            </w:r>
          </w:p>
        </w:tc>
        <w:tc>
          <w:tcPr>
            <w:tcW w:type="dxa" w:w="3305"/>
            <w:vAlign w:val="top"/>
            <w:tcMar>
              <w:top w:w="45" w:type="dxa"/>
              <w:start w:w="55" w:type="dxa"/>
              <w:bottom w:w="45" w:type="dxa"/>
              <w:end w:w="55" w:type="dxa"/>
            </w:tcMar>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line="240" w:lineRule="auto"/>
            </w:pPr>
            <w:r>
              <w:rPr>
                <w:b w:val="0"/>
                <w:i w:val="0"/>
                <w:rFonts w:ascii="Arial" w:hAnsi="Arial" w:eastAsia="Arial" w:cs="Arial"/>
                <w:sz w:val="20"/>
                <w:szCs w:val="20"/>
              </w:rPr>
              <w:t>Establishes minimal knowledge carrier.</w:t>
            </w:r>
          </w:p>
        </w:tc>
        <w:tc>
          <w:tcPr>
            <w:tcW w:type="dxa" w:w="4628"/>
            <w:vAlign w:val="top"/>
            <w:tcMar>
              <w:top w:w="45" w:type="dxa"/>
              <w:start w:w="55" w:type="dxa"/>
              <w:bottom w:w="45" w:type="dxa"/>
              <w:end w:w="55" w:type="dxa"/>
            </w:tcMar>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line="240" w:lineRule="auto"/>
            </w:pPr>
            <w:r>
              <w:rPr>
                <w:b w:val="0"/>
                <w:i w:val="0"/>
                <w:rFonts w:ascii="Arial" w:hAnsi="Arial" w:eastAsia="Arial" w:cs="Arial"/>
                <w:sz w:val="20"/>
                <w:szCs w:val="20"/>
              </w:rPr>
              <w:t>OR-produced, OA-keyed RAS; present accessible state; operational horizon.</w:t>
            </w:r>
          </w:p>
        </w:tc>
        <w:tc>
          <w:tcPr>
            <w:tcW w:type="dxa" w:w="3967"/>
            <w:vAlign w:val="top"/>
            <w:tcMar>
              <w:top w:w="45" w:type="dxa"/>
              <w:start w:w="55" w:type="dxa"/>
              <w:bottom w:w="45" w:type="dxa"/>
              <w:end w:w="55" w:type="dxa"/>
            </w:tcMar>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line="240" w:lineRule="auto"/>
            </w:pPr>
            <w:r>
              <w:rPr>
                <w:b w:val="0"/>
                <w:i w:val="0"/>
                <w:rFonts w:ascii="Arial" w:hAnsi="Arial" w:eastAsia="Arial" w:cs="Arial"/>
                <w:sz w:val="20"/>
                <w:szCs w:val="20"/>
              </w:rPr>
              <w:t>No retained, re-identifiable distinction, no minimal knowledge-status.</w:t>
            </w:r>
          </w:p>
        </w:tc>
      </w:tr>
      <w:tr>
        <w:trPr>
          <w:cantSplit/>
        </w:trPr>
        <w:tc>
          <w:tcPr>
            <w:tcW w:type="dxa" w:w="2644"/>
            <w:vAlign w:val="top"/>
            <w:tcMar>
              <w:top w:w="45" w:type="dxa"/>
              <w:start w:w="55" w:type="dxa"/>
              <w:bottom w:w="45" w:type="dxa"/>
              <w:end w:w="55" w:type="dxa"/>
            </w:tcMar>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line="240" w:lineRule="auto"/>
            </w:pPr>
            <w:r>
              <w:rPr>
                <w:b w:val="0"/>
                <w:i w:val="0"/>
                <w:rFonts w:ascii="Arial" w:hAnsi="Arial" w:eastAsia="Arial" w:cs="Arial"/>
                <w:sz w:val="20"/>
                <w:szCs w:val="20"/>
              </w:rPr>
              <w:t>3. Knowledge ladder</w:t>
            </w:r>
          </w:p>
        </w:tc>
        <w:tc>
          <w:tcPr>
            <w:tcW w:type="dxa" w:w="3305"/>
            <w:vAlign w:val="top"/>
            <w:tcMar>
              <w:top w:w="45" w:type="dxa"/>
              <w:start w:w="55" w:type="dxa"/>
              <w:bottom w:w="45" w:type="dxa"/>
              <w:end w:w="55" w:type="dxa"/>
            </w:tcMar>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line="240" w:lineRule="auto"/>
            </w:pPr>
            <w:r>
              <w:rPr>
                <w:b w:val="0"/>
                <w:i w:val="0"/>
                <w:rFonts w:ascii="Arial" w:hAnsi="Arial" w:eastAsia="Arial" w:cs="Arial"/>
                <w:sz w:val="20"/>
                <w:szCs w:val="20"/>
              </w:rPr>
              <w:t>Separates presence, potential, and operation.</w:t>
            </w:r>
          </w:p>
        </w:tc>
        <w:tc>
          <w:tcPr>
            <w:tcW w:type="dxa" w:w="4628"/>
            <w:vAlign w:val="top"/>
            <w:tcMar>
              <w:top w:w="45" w:type="dxa"/>
              <w:start w:w="55" w:type="dxa"/>
              <w:bottom w:w="45" w:type="dxa"/>
              <w:end w:w="55" w:type="dxa"/>
            </w:tcMar>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line="240" w:lineRule="auto"/>
            </w:pPr>
            <w:r>
              <w:rPr>
                <w:b w:val="0"/>
                <w:i w:val="0"/>
                <w:rFonts w:ascii="Arial" w:hAnsi="Arial" w:eastAsia="Arial" w:cs="Arial"/>
                <w:sz w:val="20"/>
                <w:szCs w:val="20"/>
              </w:rPr>
              <w:t>TK; KIP; NTK.</w:t>
            </w:r>
          </w:p>
        </w:tc>
        <w:tc>
          <w:tcPr>
            <w:tcW w:type="dxa" w:w="3967"/>
            <w:vAlign w:val="top"/>
            <w:tcMar>
              <w:top w:w="45" w:type="dxa"/>
              <w:start w:w="55" w:type="dxa"/>
              <w:bottom w:w="45" w:type="dxa"/>
              <w:end w:w="55" w:type="dxa"/>
            </w:tcMar>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line="240" w:lineRule="auto"/>
            </w:pPr>
            <w:r>
              <w:rPr>
                <w:b w:val="0"/>
                <w:i w:val="0"/>
                <w:rFonts w:ascii="Arial" w:hAnsi="Arial" w:eastAsia="Arial" w:cs="Arial"/>
                <w:sz w:val="20"/>
                <w:szCs w:val="20"/>
              </w:rPr>
              <w:t>Record-presence is not deployability; deployability is not realised deployment; deployment is not warrant.</w:t>
            </w:r>
          </w:p>
        </w:tc>
      </w:tr>
      <w:tr>
        <w:trPr>
          <w:cantSplit/>
        </w:trPr>
        <w:tc>
          <w:tcPr>
            <w:tcW w:type="dxa" w:w="2644"/>
            <w:vAlign w:val="top"/>
            <w:tcMar>
              <w:top w:w="45" w:type="dxa"/>
              <w:start w:w="55" w:type="dxa"/>
              <w:bottom w:w="45" w:type="dxa"/>
              <w:end w:w="55" w:type="dxa"/>
            </w:tcMar>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line="240" w:lineRule="auto"/>
            </w:pPr>
            <w:r>
              <w:rPr>
                <w:b w:val="0"/>
                <w:i w:val="0"/>
                <w:rFonts w:ascii="Arial" w:hAnsi="Arial" w:eastAsia="Arial" w:cs="Arial"/>
                <w:sz w:val="20"/>
                <w:szCs w:val="20"/>
              </w:rPr>
              <w:t>4. Applied distinction</w:t>
            </w:r>
          </w:p>
        </w:tc>
        <w:tc>
          <w:tcPr>
            <w:tcW w:type="dxa" w:w="3305"/>
            <w:vAlign w:val="top"/>
            <w:tcMar>
              <w:top w:w="45" w:type="dxa"/>
              <w:start w:w="55" w:type="dxa"/>
              <w:bottom w:w="45" w:type="dxa"/>
              <w:end w:w="55" w:type="dxa"/>
            </w:tcMar>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line="240" w:lineRule="auto"/>
            </w:pPr>
            <w:r>
              <w:rPr>
                <w:b w:val="0"/>
                <w:i w:val="0"/>
                <w:rFonts w:ascii="Arial" w:hAnsi="Arial" w:eastAsia="Arial" w:cs="Arial"/>
                <w:sz w:val="20"/>
                <w:szCs w:val="20"/>
              </w:rPr>
              <w:t>Establishes intelligence threshold.</w:t>
            </w:r>
          </w:p>
        </w:tc>
        <w:tc>
          <w:tcPr>
            <w:tcW w:type="dxa" w:w="4628"/>
            <w:vAlign w:val="top"/>
            <w:tcMar>
              <w:top w:w="45" w:type="dxa"/>
              <w:start w:w="55" w:type="dxa"/>
              <w:bottom w:w="45" w:type="dxa"/>
              <w:end w:w="55" w:type="dxa"/>
            </w:tcMar>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line="240" w:lineRule="auto"/>
            </w:pPr>
            <w:r>
              <w:rPr>
                <w:b w:val="0"/>
                <w:i w:val="0"/>
                <w:rFonts w:ascii="Arial" w:hAnsi="Arial" w:eastAsia="Arial" w:cs="Arial"/>
                <w:sz w:val="20"/>
                <w:szCs w:val="20"/>
              </w:rPr>
              <w:t>Distinction-conditioned organisation; locus; downstream trajectory selection; branch-space.</w:t>
            </w:r>
          </w:p>
        </w:tc>
        <w:tc>
          <w:tcPr>
            <w:tcW w:type="dxa" w:w="3967"/>
            <w:vAlign w:val="top"/>
            <w:tcMar>
              <w:top w:w="45" w:type="dxa"/>
              <w:start w:w="55" w:type="dxa"/>
              <w:bottom w:w="45" w:type="dxa"/>
              <w:end w:w="55" w:type="dxa"/>
            </w:tcMar>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line="240" w:lineRule="auto"/>
            </w:pPr>
            <w:r>
              <w:rPr>
                <w:b w:val="0"/>
                <w:i w:val="0"/>
                <w:rFonts w:ascii="Arial" w:hAnsi="Arial" w:eastAsia="Arial" w:cs="Arial"/>
                <w:sz w:val="20"/>
                <w:szCs w:val="20"/>
              </w:rPr>
              <w:t>No application by the evaluated locus, no intelligence-status.</w:t>
            </w:r>
          </w:p>
        </w:tc>
      </w:tr>
      <w:tr>
        <w:trPr>
          <w:cantSplit/>
        </w:trPr>
        <w:tc>
          <w:tcPr>
            <w:tcW w:type="dxa" w:w="2644"/>
            <w:vAlign w:val="top"/>
            <w:tcMar>
              <w:top w:w="45" w:type="dxa"/>
              <w:start w:w="55" w:type="dxa"/>
              <w:bottom w:w="45" w:type="dxa"/>
              <w:end w:w="55" w:type="dxa"/>
            </w:tcMar>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line="240" w:lineRule="auto"/>
            </w:pPr>
            <w:r>
              <w:rPr>
                <w:b w:val="0"/>
                <w:i w:val="0"/>
                <w:rFonts w:ascii="Arial" w:hAnsi="Arial" w:eastAsia="Arial" w:cs="Arial"/>
                <w:sz w:val="20"/>
                <w:szCs w:val="20"/>
              </w:rPr>
              <w:t>5. Provenance/use ladder</w:t>
            </w:r>
          </w:p>
        </w:tc>
        <w:tc>
          <w:tcPr>
            <w:tcW w:type="dxa" w:w="3305"/>
            <w:vAlign w:val="top"/>
            <w:tcMar>
              <w:top w:w="45" w:type="dxa"/>
              <w:start w:w="55" w:type="dxa"/>
              <w:bottom w:w="45" w:type="dxa"/>
              <w:end w:w="55" w:type="dxa"/>
            </w:tcMar>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line="240" w:lineRule="auto"/>
            </w:pPr>
            <w:r>
              <w:rPr>
                <w:b w:val="0"/>
                <w:i w:val="0"/>
                <w:rFonts w:ascii="Arial" w:hAnsi="Arial" w:eastAsia="Arial" w:cs="Arial"/>
                <w:sz w:val="20"/>
                <w:szCs w:val="20"/>
              </w:rPr>
              <w:t>Separates origin of distinction from present use.</w:t>
            </w:r>
          </w:p>
        </w:tc>
        <w:tc>
          <w:tcPr>
            <w:tcW w:type="dxa" w:w="4628"/>
            <w:vAlign w:val="top"/>
            <w:tcMar>
              <w:top w:w="45" w:type="dxa"/>
              <w:start w:w="55" w:type="dxa"/>
              <w:bottom w:w="45" w:type="dxa"/>
              <w:end w:w="55" w:type="dxa"/>
            </w:tcMar>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line="240" w:lineRule="auto"/>
            </w:pPr>
            <w:r>
              <w:rPr>
                <w:b w:val="0"/>
                <w:i w:val="0"/>
                <w:rFonts w:ascii="Arial" w:hAnsi="Arial" w:eastAsia="Arial" w:cs="Arial"/>
                <w:sz w:val="20"/>
                <w:szCs w:val="20"/>
              </w:rPr>
              <w:t>Passive information; active information; producing locus; passive intelligence; active intelligence.</w:t>
            </w:r>
          </w:p>
        </w:tc>
        <w:tc>
          <w:tcPr>
            <w:tcW w:type="dxa" w:w="3967"/>
            <w:vAlign w:val="top"/>
            <w:tcMar>
              <w:top w:w="45" w:type="dxa"/>
              <w:start w:w="55" w:type="dxa"/>
              <w:bottom w:w="45" w:type="dxa"/>
              <w:end w:w="55" w:type="dxa"/>
            </w:tcMar>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line="240" w:lineRule="auto"/>
            </w:pPr>
            <w:r>
              <w:rPr>
                <w:b w:val="0"/>
                <w:i w:val="0"/>
                <w:rFonts w:ascii="Arial" w:hAnsi="Arial" w:eastAsia="Arial" w:cs="Arial"/>
                <w:sz w:val="20"/>
                <w:szCs w:val="20"/>
              </w:rPr>
              <w:t>Later encounter does not create active-information provenance.</w:t>
            </w:r>
          </w:p>
        </w:tc>
      </w:tr>
      <w:tr>
        <w:trPr>
          <w:cantSplit/>
        </w:trPr>
        <w:tc>
          <w:tcPr>
            <w:tcW w:type="dxa" w:w="2644"/>
            <w:vAlign w:val="top"/>
            <w:tcMar>
              <w:top w:w="45" w:type="dxa"/>
              <w:start w:w="55" w:type="dxa"/>
              <w:bottom w:w="45" w:type="dxa"/>
              <w:end w:w="55" w:type="dxa"/>
            </w:tcMar>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line="240" w:lineRule="auto"/>
            </w:pPr>
            <w:r>
              <w:rPr>
                <w:b w:val="0"/>
                <w:i w:val="0"/>
                <w:rFonts w:ascii="Arial" w:hAnsi="Arial" w:eastAsia="Arial" w:cs="Arial"/>
                <w:sz w:val="20"/>
                <w:szCs w:val="20"/>
              </w:rPr>
              <w:t>6. Non-trivial application</w:t>
            </w:r>
          </w:p>
        </w:tc>
        <w:tc>
          <w:tcPr>
            <w:tcW w:type="dxa" w:w="3305"/>
            <w:vAlign w:val="top"/>
            <w:tcMar>
              <w:top w:w="45" w:type="dxa"/>
              <w:start w:w="55" w:type="dxa"/>
              <w:bottom w:w="45" w:type="dxa"/>
              <w:end w:w="55" w:type="dxa"/>
            </w:tcMar>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line="240" w:lineRule="auto"/>
            </w:pPr>
            <w:r>
              <w:rPr>
                <w:b w:val="0"/>
                <w:i w:val="0"/>
                <w:rFonts w:ascii="Arial" w:hAnsi="Arial" w:eastAsia="Arial" w:cs="Arial"/>
                <w:sz w:val="20"/>
                <w:szCs w:val="20"/>
              </w:rPr>
              <w:t>Adds comparator-stable dependence.</w:t>
            </w:r>
          </w:p>
        </w:tc>
        <w:tc>
          <w:tcPr>
            <w:tcW w:type="dxa" w:w="4628"/>
            <w:vAlign w:val="top"/>
            <w:tcMar>
              <w:top w:w="45" w:type="dxa"/>
              <w:start w:w="55" w:type="dxa"/>
              <w:bottom w:w="45" w:type="dxa"/>
              <w:end w:w="55" w:type="dxa"/>
            </w:tcMar>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line="240" w:lineRule="auto"/>
            </w:pPr>
            <w:r>
              <w:rPr>
                <w:b w:val="0"/>
                <w:i w:val="0"/>
                <w:rFonts w:ascii="Arial" w:hAnsi="Arial" w:eastAsia="Arial" w:cs="Arial"/>
                <w:sz w:val="20"/>
                <w:szCs w:val="20"/>
              </w:rPr>
              <w:t>NTI; NTC under intelligence facet; BD; IPL.</w:t>
            </w:r>
          </w:p>
        </w:tc>
        <w:tc>
          <w:tcPr>
            <w:tcW w:type="dxa" w:w="3967"/>
            <w:vAlign w:val="top"/>
            <w:tcMar>
              <w:top w:w="45" w:type="dxa"/>
              <w:start w:w="55" w:type="dxa"/>
              <w:bottom w:w="45" w:type="dxa"/>
              <w:end w:w="55" w:type="dxa"/>
            </w:tcMar>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line="240" w:lineRule="auto"/>
            </w:pPr>
            <w:r>
              <w:rPr>
                <w:b w:val="0"/>
                <w:i w:val="0"/>
                <w:rFonts w:ascii="Arial" w:hAnsi="Arial" w:eastAsia="Arial" w:cs="Arial"/>
                <w:sz w:val="20"/>
                <w:szCs w:val="20"/>
              </w:rPr>
              <w:t>Success, resemblance, complexity, or external usefulness is insufficient.</w:t>
            </w:r>
          </w:p>
        </w:tc>
      </w:tr>
      <w:tr>
        <w:trPr>
          <w:cantSplit/>
        </w:trPr>
        <w:tc>
          <w:tcPr>
            <w:tcW w:type="dxa" w:w="2644"/>
            <w:vAlign w:val="top"/>
            <w:tcMar>
              <w:top w:w="45" w:type="dxa"/>
              <w:start w:w="55" w:type="dxa"/>
              <w:bottom w:w="45" w:type="dxa"/>
              <w:end w:w="55" w:type="dxa"/>
            </w:tcMar>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line="240" w:lineRule="auto"/>
            </w:pPr>
            <w:r>
              <w:rPr>
                <w:b w:val="0"/>
                <w:i w:val="0"/>
                <w:rFonts w:ascii="Arial" w:hAnsi="Arial" w:eastAsia="Arial" w:cs="Arial"/>
                <w:sz w:val="20"/>
                <w:szCs w:val="20"/>
              </w:rPr>
              <w:t>7. Bounded registration</w:t>
            </w:r>
          </w:p>
        </w:tc>
        <w:tc>
          <w:tcPr>
            <w:tcW w:type="dxa" w:w="3305"/>
            <w:vAlign w:val="top"/>
            <w:tcMar>
              <w:top w:w="45" w:type="dxa"/>
              <w:start w:w="55" w:type="dxa"/>
              <w:bottom w:w="45" w:type="dxa"/>
              <w:end w:w="55" w:type="dxa"/>
            </w:tcMar>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line="240" w:lineRule="auto"/>
            </w:pPr>
            <w:r>
              <w:rPr>
                <w:b w:val="0"/>
                <w:i w:val="0"/>
                <w:rFonts w:ascii="Arial" w:hAnsi="Arial" w:eastAsia="Arial" w:cs="Arial"/>
                <w:sz w:val="20"/>
                <w:szCs w:val="20"/>
              </w:rPr>
              <w:t>Establishes observation threshold.</w:t>
            </w:r>
          </w:p>
        </w:tc>
        <w:tc>
          <w:tcPr>
            <w:tcW w:type="dxa" w:w="4628"/>
            <w:vAlign w:val="top"/>
            <w:tcMar>
              <w:top w:w="45" w:type="dxa"/>
              <w:start w:w="55" w:type="dxa"/>
              <w:bottom w:w="45" w:type="dxa"/>
              <w:end w:w="55" w:type="dxa"/>
            </w:tcMar>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line="240" w:lineRule="auto"/>
            </w:pPr>
            <w:r>
              <w:rPr>
                <w:b w:val="0"/>
                <w:i w:val="0"/>
                <w:rFonts w:ascii="Arial" w:hAnsi="Arial" w:eastAsia="Arial" w:cs="Arial"/>
                <w:sz w:val="20"/>
                <w:szCs w:val="20"/>
              </w:rPr>
              <w:t>Bounded locus-interface-regime; OR event; RAS record; RSD.</w:t>
            </w:r>
          </w:p>
        </w:tc>
        <w:tc>
          <w:tcPr>
            <w:tcW w:type="dxa" w:w="3967"/>
            <w:vAlign w:val="top"/>
            <w:tcMar>
              <w:top w:w="45" w:type="dxa"/>
              <w:start w:w="55" w:type="dxa"/>
              <w:bottom w:w="45" w:type="dxa"/>
              <w:end w:w="55" w:type="dxa"/>
            </w:tcMar>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line="240" w:lineRule="auto"/>
            </w:pPr>
            <w:r>
              <w:rPr>
                <w:b w:val="0"/>
                <w:i w:val="0"/>
                <w:rFonts w:ascii="Arial" w:hAnsi="Arial" w:eastAsia="Arial" w:cs="Arial"/>
                <w:sz w:val="20"/>
                <w:szCs w:val="20"/>
              </w:rPr>
              <w:t>Interaction, signal reception, transient tokenisation, or persistent alteration alone is insufficient.</w:t>
            </w:r>
          </w:p>
        </w:tc>
      </w:tr>
      <w:tr>
        <w:trPr>
          <w:cantSplit/>
        </w:trPr>
        <w:tc>
          <w:tcPr>
            <w:tcW w:type="dxa" w:w="2644"/>
            <w:vAlign w:val="top"/>
            <w:tcMar>
              <w:top w:w="45" w:type="dxa"/>
              <w:start w:w="55" w:type="dxa"/>
              <w:bottom w:w="45" w:type="dxa"/>
              <w:end w:w="55" w:type="dxa"/>
            </w:tcMar>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line="240" w:lineRule="auto"/>
            </w:pPr>
            <w:r>
              <w:rPr>
                <w:b w:val="0"/>
                <w:i w:val="0"/>
                <w:rFonts w:ascii="Arial" w:hAnsi="Arial" w:eastAsia="Arial" w:cs="Arial"/>
                <w:sz w:val="20"/>
                <w:szCs w:val="20"/>
              </w:rPr>
              <w:t>8. Observation ladder and observer-status</w:t>
            </w:r>
          </w:p>
        </w:tc>
        <w:tc>
          <w:tcPr>
            <w:tcW w:type="dxa" w:w="3305"/>
            <w:vAlign w:val="top"/>
            <w:tcMar>
              <w:top w:w="45" w:type="dxa"/>
              <w:start w:w="55" w:type="dxa"/>
              <w:bottom w:w="45" w:type="dxa"/>
              <w:end w:w="55" w:type="dxa"/>
            </w:tcMar>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line="240" w:lineRule="auto"/>
            </w:pPr>
            <w:r>
              <w:rPr>
                <w:b w:val="0"/>
                <w:i w:val="0"/>
                <w:rFonts w:ascii="Arial" w:hAnsi="Arial" w:eastAsia="Arial" w:cs="Arial"/>
                <w:sz w:val="20"/>
                <w:szCs w:val="20"/>
              </w:rPr>
              <w:t>Separates record, capacity, and realised observer-dependence.</w:t>
            </w:r>
          </w:p>
        </w:tc>
        <w:tc>
          <w:tcPr>
            <w:tcW w:type="dxa" w:w="4628"/>
            <w:vAlign w:val="top"/>
            <w:tcMar>
              <w:top w:w="45" w:type="dxa"/>
              <w:start w:w="55" w:type="dxa"/>
              <w:bottom w:w="45" w:type="dxa"/>
              <w:end w:w="55" w:type="dxa"/>
            </w:tcMar>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line="240" w:lineRule="auto"/>
            </w:pPr>
            <w:r>
              <w:rPr>
                <w:b w:val="0"/>
                <w:i w:val="0"/>
                <w:rFonts w:ascii="Arial" w:hAnsi="Arial" w:eastAsia="Arial" w:cs="Arial"/>
                <w:sz w:val="20"/>
                <w:szCs w:val="20"/>
              </w:rPr>
              <w:t>Pre-TO; TO; OIP; NTO; observer-locus; Observer.</w:t>
            </w:r>
          </w:p>
        </w:tc>
        <w:tc>
          <w:tcPr>
            <w:tcW w:type="dxa" w:w="3967"/>
            <w:vAlign w:val="top"/>
            <w:tcMar>
              <w:top w:w="45" w:type="dxa"/>
              <w:start w:w="55" w:type="dxa"/>
              <w:bottom w:w="45" w:type="dxa"/>
              <w:end w:w="55" w:type="dxa"/>
            </w:tcMar>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line="240" w:lineRule="auto"/>
            </w:pPr>
            <w:r>
              <w:rPr>
                <w:b w:val="0"/>
                <w:i w:val="0"/>
                <w:rFonts w:ascii="Arial" w:hAnsi="Arial" w:eastAsia="Arial" w:cs="Arial"/>
                <w:sz w:val="20"/>
                <w:szCs w:val="20"/>
              </w:rPr>
              <w:t>A record is not an observer-locus; an observer-locus is not an Observer.</w:t>
            </w:r>
          </w:p>
        </w:tc>
      </w:tr>
      <w:tr>
        <w:trPr>
          <w:cantSplit/>
        </w:trPr>
        <w:tc>
          <w:tcPr>
            <w:tcW w:type="dxa" w:w="2644"/>
            <w:vAlign w:val="top"/>
            <w:tcMar>
              <w:top w:w="45" w:type="dxa"/>
              <w:start w:w="55" w:type="dxa"/>
              <w:bottom w:w="45" w:type="dxa"/>
              <w:end w:w="55" w:type="dxa"/>
            </w:tcMar>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line="240" w:lineRule="auto"/>
            </w:pPr>
            <w:r>
              <w:rPr>
                <w:b w:val="0"/>
                <w:i w:val="0"/>
                <w:rFonts w:ascii="Arial" w:hAnsi="Arial" w:eastAsia="Arial" w:cs="Arial"/>
                <w:sz w:val="20"/>
                <w:szCs w:val="20"/>
              </w:rPr>
              <w:t>9. Observational cut</w:t>
            </w:r>
          </w:p>
        </w:tc>
        <w:tc>
          <w:tcPr>
            <w:tcW w:type="dxa" w:w="3305"/>
            <w:vAlign w:val="top"/>
            <w:tcMar>
              <w:top w:w="45" w:type="dxa"/>
              <w:start w:w="55" w:type="dxa"/>
              <w:bottom w:w="45" w:type="dxa"/>
              <w:end w:w="55" w:type="dxa"/>
            </w:tcMar>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line="240" w:lineRule="auto"/>
            </w:pPr>
            <w:r>
              <w:rPr>
                <w:b w:val="0"/>
                <w:i w:val="0"/>
                <w:rFonts w:ascii="Arial" w:hAnsi="Arial" w:eastAsia="Arial" w:cs="Arial"/>
                <w:sz w:val="20"/>
                <w:szCs w:val="20"/>
              </w:rPr>
              <w:t>Makes selected difference registerable.</w:t>
            </w:r>
          </w:p>
        </w:tc>
        <w:tc>
          <w:tcPr>
            <w:tcW w:type="dxa" w:w="4628"/>
            <w:vAlign w:val="top"/>
            <w:tcMar>
              <w:top w:w="45" w:type="dxa"/>
              <w:start w:w="55" w:type="dxa"/>
              <w:bottom w:w="45" w:type="dxa"/>
              <w:end w:w="55" w:type="dxa"/>
            </w:tcMar>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line="240" w:lineRule="auto"/>
            </w:pPr>
            <w:r>
              <w:rPr>
                <w:b w:val="0"/>
                <w:i w:val="0"/>
                <w:rFonts w:ascii="Arial" w:hAnsi="Arial" w:eastAsia="Arial" w:cs="Arial"/>
                <w:sz w:val="20"/>
                <w:szCs w:val="20"/>
              </w:rPr>
              <w:t>Boundary; channel; threshold; partition; equivalence relation; scale; tokenisation.</w:t>
            </w:r>
          </w:p>
        </w:tc>
        <w:tc>
          <w:tcPr>
            <w:tcW w:type="dxa" w:w="3967"/>
            <w:vAlign w:val="top"/>
            <w:tcMar>
              <w:top w:w="45" w:type="dxa"/>
              <w:start w:w="55" w:type="dxa"/>
              <w:bottom w:w="45" w:type="dxa"/>
              <w:end w:w="55" w:type="dxa"/>
            </w:tcMar>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line="240" w:lineRule="auto"/>
            </w:pPr>
            <w:r>
              <w:rPr>
                <w:b w:val="0"/>
                <w:i w:val="0"/>
                <w:rFonts w:ascii="Arial" w:hAnsi="Arial" w:eastAsia="Arial" w:cs="Arial"/>
                <w:sz w:val="20"/>
                <w:szCs w:val="20"/>
              </w:rPr>
              <w:t>The cut admits and excludes; it is not the real whole.</w:t>
            </w:r>
          </w:p>
        </w:tc>
      </w:tr>
      <w:tr>
        <w:trPr>
          <w:cantSplit/>
        </w:trPr>
        <w:tc>
          <w:tcPr>
            <w:tcW w:type="dxa" w:w="2644"/>
            <w:vAlign w:val="top"/>
            <w:tcMar>
              <w:top w:w="45" w:type="dxa"/>
              <w:start w:w="55" w:type="dxa"/>
              <w:bottom w:w="45" w:type="dxa"/>
              <w:end w:w="55" w:type="dxa"/>
            </w:tcMar>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line="240" w:lineRule="auto"/>
            </w:pPr>
            <w:r>
              <w:rPr>
                <w:b w:val="0"/>
                <w:i w:val="0"/>
                <w:rFonts w:ascii="Arial" w:hAnsi="Arial" w:eastAsia="Arial" w:cs="Arial"/>
                <w:sz w:val="20"/>
                <w:szCs w:val="20"/>
              </w:rPr>
              <w:t>10. Abstraction regime</w:t>
            </w:r>
          </w:p>
        </w:tc>
        <w:tc>
          <w:tcPr>
            <w:tcW w:type="dxa" w:w="3305"/>
            <w:vAlign w:val="top"/>
            <w:tcMar>
              <w:top w:w="45" w:type="dxa"/>
              <w:start w:w="55" w:type="dxa"/>
              <w:bottom w:w="45" w:type="dxa"/>
              <w:end w:w="55" w:type="dxa"/>
            </w:tcMar>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line="240" w:lineRule="auto"/>
            </w:pPr>
            <w:r>
              <w:rPr>
                <w:b w:val="0"/>
                <w:i w:val="0"/>
                <w:rFonts w:ascii="Arial" w:hAnsi="Arial" w:eastAsia="Arial" w:cs="Arial"/>
                <w:sz w:val="20"/>
                <w:szCs w:val="20"/>
              </w:rPr>
              <w:t>Stabilises coordinated cuts.</w:t>
            </w:r>
          </w:p>
        </w:tc>
        <w:tc>
          <w:tcPr>
            <w:tcW w:type="dxa" w:w="4628"/>
            <w:vAlign w:val="top"/>
            <w:tcMar>
              <w:top w:w="45" w:type="dxa"/>
              <w:start w:w="55" w:type="dxa"/>
              <w:bottom w:w="45" w:type="dxa"/>
              <w:end w:w="55" w:type="dxa"/>
            </w:tcMar>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line="240" w:lineRule="auto"/>
            </w:pPr>
            <w:r>
              <w:rPr>
                <w:b w:val="0"/>
                <w:i w:val="0"/>
                <w:rFonts w:ascii="Arial" w:hAnsi="Arial" w:eastAsia="Arial" w:cs="Arial"/>
                <w:sz w:val="20"/>
                <w:szCs w:val="20"/>
              </w:rPr>
              <w:t>Thresholds; saliences; records; categories; memory; calibration; correction.</w:t>
            </w:r>
          </w:p>
        </w:tc>
        <w:tc>
          <w:tcPr>
            <w:tcW w:type="dxa" w:w="3967"/>
            <w:vAlign w:val="top"/>
            <w:tcMar>
              <w:top w:w="45" w:type="dxa"/>
              <w:start w:w="55" w:type="dxa"/>
              <w:bottom w:w="45" w:type="dxa"/>
              <w:end w:w="55" w:type="dxa"/>
            </w:tcMar>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line="240" w:lineRule="auto"/>
            </w:pPr>
            <w:r>
              <w:rPr>
                <w:b w:val="0"/>
                <w:i w:val="0"/>
                <w:rFonts w:ascii="Arial" w:hAnsi="Arial" w:eastAsia="Arial" w:cs="Arial"/>
                <w:sz w:val="20"/>
                <w:szCs w:val="20"/>
              </w:rPr>
              <w:t>A repeatable regime can preserve relation or reproduce misregistration.</w:t>
            </w:r>
          </w:p>
        </w:tc>
      </w:tr>
      <w:tr>
        <w:trPr>
          <w:cantSplit/>
        </w:trPr>
        <w:tc>
          <w:tcPr>
            <w:tcW w:type="dxa" w:w="2644"/>
            <w:vAlign w:val="top"/>
            <w:tcMar>
              <w:top w:w="45" w:type="dxa"/>
              <w:start w:w="55" w:type="dxa"/>
              <w:bottom w:w="45" w:type="dxa"/>
              <w:end w:w="55" w:type="dxa"/>
            </w:tcMar>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line="240" w:lineRule="auto"/>
            </w:pPr>
            <w:r>
              <w:rPr>
                <w:b w:val="0"/>
                <w:i w:val="0"/>
                <w:rFonts w:ascii="Arial" w:hAnsi="Arial" w:eastAsia="Arial" w:cs="Arial"/>
                <w:sz w:val="20"/>
                <w:szCs w:val="20"/>
              </w:rPr>
              <w:t>11. Perspective and event-horizon profile</w:t>
            </w:r>
          </w:p>
        </w:tc>
        <w:tc>
          <w:tcPr>
            <w:tcW w:type="dxa" w:w="3305"/>
            <w:vAlign w:val="top"/>
            <w:tcMar>
              <w:top w:w="45" w:type="dxa"/>
              <w:start w:w="55" w:type="dxa"/>
              <w:bottom w:w="45" w:type="dxa"/>
              <w:end w:w="55" w:type="dxa"/>
            </w:tcMar>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line="240" w:lineRule="auto"/>
            </w:pPr>
            <w:r>
              <w:rPr>
                <w:b w:val="0"/>
                <w:i w:val="0"/>
                <w:rFonts w:ascii="Arial" w:hAnsi="Arial" w:eastAsia="Arial" w:cs="Arial"/>
                <w:sz w:val="20"/>
                <w:szCs w:val="20"/>
              </w:rPr>
              <w:t>Integrates abstraction for a locus.</w:t>
            </w:r>
          </w:p>
        </w:tc>
        <w:tc>
          <w:tcPr>
            <w:tcW w:type="dxa" w:w="4628"/>
            <w:vAlign w:val="top"/>
            <w:tcMar>
              <w:top w:w="45" w:type="dxa"/>
              <w:start w:w="55" w:type="dxa"/>
              <w:bottom w:w="45" w:type="dxa"/>
              <w:end w:w="55" w:type="dxa"/>
            </w:tcMar>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line="240" w:lineRule="auto"/>
            </w:pPr>
            <w:r>
              <w:rPr>
                <w:b w:val="0"/>
                <w:i w:val="0"/>
                <w:rFonts w:ascii="Arial" w:hAnsi="Arial" w:eastAsia="Arial" w:cs="Arial"/>
                <w:sz w:val="20"/>
                <w:szCs w:val="20"/>
              </w:rPr>
              <w:t>Perspective; observation-world; multidimensional ingress limits.</w:t>
            </w:r>
          </w:p>
        </w:tc>
        <w:tc>
          <w:tcPr>
            <w:tcW w:type="dxa" w:w="3967"/>
            <w:vAlign w:val="top"/>
            <w:tcMar>
              <w:top w:w="45" w:type="dxa"/>
              <w:start w:w="55" w:type="dxa"/>
              <w:bottom w:w="45" w:type="dxa"/>
              <w:end w:w="55" w:type="dxa"/>
            </w:tcMar>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line="240" w:lineRule="auto"/>
            </w:pPr>
            <w:r>
              <w:rPr>
                <w:b w:val="0"/>
                <w:i w:val="0"/>
                <w:rFonts w:ascii="Arial" w:hAnsi="Arial" w:eastAsia="Arial" w:cs="Arial"/>
                <w:sz w:val="20"/>
                <w:szCs w:val="20"/>
              </w:rPr>
              <w:t>Perspective is organised architecture, not private opinion or arbitrary construction.</w:t>
            </w:r>
          </w:p>
        </w:tc>
      </w:tr>
      <w:tr>
        <w:trPr>
          <w:cantSplit/>
        </w:trPr>
        <w:tc>
          <w:tcPr>
            <w:tcW w:type="dxa" w:w="2644"/>
            <w:vAlign w:val="top"/>
            <w:tcMar>
              <w:top w:w="45" w:type="dxa"/>
              <w:start w:w="55" w:type="dxa"/>
              <w:bottom w:w="45" w:type="dxa"/>
              <w:end w:w="55" w:type="dxa"/>
            </w:tcMar>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line="240" w:lineRule="auto"/>
            </w:pPr>
            <w:r>
              <w:rPr>
                <w:b w:val="0"/>
                <w:i w:val="0"/>
                <w:rFonts w:ascii="Arial" w:hAnsi="Arial" w:eastAsia="Arial" w:cs="Arial"/>
                <w:sz w:val="20"/>
                <w:szCs w:val="20"/>
              </w:rPr>
              <w:t>12. Abstraction Gap and relational uncertainty</w:t>
            </w:r>
          </w:p>
        </w:tc>
        <w:tc>
          <w:tcPr>
            <w:tcW w:type="dxa" w:w="3305"/>
            <w:vAlign w:val="top"/>
            <w:tcMar>
              <w:top w:w="45" w:type="dxa"/>
              <w:start w:w="55" w:type="dxa"/>
              <w:bottom w:w="45" w:type="dxa"/>
              <w:end w:w="55" w:type="dxa"/>
            </w:tcMar>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line="240" w:lineRule="auto"/>
            </w:pPr>
            <w:r>
              <w:rPr>
                <w:b w:val="0"/>
                <w:i w:val="0"/>
                <w:rFonts w:ascii="Arial" w:hAnsi="Arial" w:eastAsia="Arial" w:cs="Arial"/>
                <w:sz w:val="20"/>
                <w:szCs w:val="20"/>
              </w:rPr>
              <w:t>Carries discrepancy and preservation uncertainty.</w:t>
            </w:r>
          </w:p>
        </w:tc>
        <w:tc>
          <w:tcPr>
            <w:tcW w:type="dxa" w:w="4628"/>
            <w:vAlign w:val="top"/>
            <w:tcMar>
              <w:top w:w="45" w:type="dxa"/>
              <w:start w:w="55" w:type="dxa"/>
              <w:bottom w:w="45" w:type="dxa"/>
              <w:end w:w="55" w:type="dxa"/>
            </w:tcMar>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line="240" w:lineRule="auto"/>
            </w:pPr>
            <w:r>
              <w:rPr>
                <w:b w:val="0"/>
                <w:i w:val="0"/>
                <w:rFonts w:ascii="Arial" w:hAnsi="Arial" w:eastAsia="Arial" w:cs="Arial"/>
                <w:sz w:val="20"/>
                <w:szCs w:val="20"/>
              </w:rPr>
              <w:t>Compression; omission; target relation; residual.</w:t>
            </w:r>
          </w:p>
        </w:tc>
        <w:tc>
          <w:tcPr>
            <w:tcW w:type="dxa" w:w="3967"/>
            <w:vAlign w:val="top"/>
            <w:tcMar>
              <w:top w:w="45" w:type="dxa"/>
              <w:start w:w="55" w:type="dxa"/>
              <w:bottom w:w="45" w:type="dxa"/>
              <w:end w:w="55" w:type="dxa"/>
            </w:tcMar>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line="240" w:lineRule="auto"/>
            </w:pPr>
            <w:r>
              <w:rPr>
                <w:b w:val="0"/>
                <w:i w:val="0"/>
                <w:rFonts w:ascii="Arial" w:hAnsi="Arial" w:eastAsia="Arial" w:cs="Arial"/>
                <w:sz w:val="20"/>
                <w:szCs w:val="20"/>
              </w:rPr>
              <w:t>Gap is not automatically error; error arises when omitted or compressed relation becomes consequential.</w:t>
            </w:r>
          </w:p>
        </w:tc>
      </w:tr>
      <w:tr>
        <w:trPr>
          <w:cantSplit/>
        </w:trPr>
        <w:tc>
          <w:tcPr>
            <w:tcW w:type="dxa" w:w="2644"/>
            <w:vAlign w:val="top"/>
            <w:tcMar>
              <w:top w:w="45" w:type="dxa"/>
              <w:start w:w="55" w:type="dxa"/>
              <w:bottom w:w="45" w:type="dxa"/>
              <w:end w:w="55" w:type="dxa"/>
            </w:tcMar>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line="240" w:lineRule="auto"/>
            </w:pPr>
            <w:r>
              <w:rPr>
                <w:b w:val="0"/>
                <w:i w:val="0"/>
                <w:rFonts w:ascii="Arial" w:hAnsi="Arial" w:eastAsia="Arial" w:cs="Arial"/>
                <w:sz w:val="20"/>
                <w:szCs w:val="20"/>
              </w:rPr>
              <w:t>13. Objectivity as correction</w:t>
            </w:r>
          </w:p>
        </w:tc>
        <w:tc>
          <w:tcPr>
            <w:tcW w:type="dxa" w:w="3305"/>
            <w:vAlign w:val="top"/>
            <w:tcMar>
              <w:top w:w="45" w:type="dxa"/>
              <w:start w:w="55" w:type="dxa"/>
              <w:bottom w:w="45" w:type="dxa"/>
              <w:end w:w="55" w:type="dxa"/>
            </w:tcMar>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line="240" w:lineRule="auto"/>
            </w:pPr>
            <w:r>
              <w:rPr>
                <w:b w:val="0"/>
                <w:i w:val="0"/>
                <w:rFonts w:ascii="Arial" w:hAnsi="Arial" w:eastAsia="Arial" w:cs="Arial"/>
                <w:sz w:val="20"/>
                <w:szCs w:val="20"/>
              </w:rPr>
              <w:t>Makes perspective answerable to constraint.</w:t>
            </w:r>
          </w:p>
        </w:tc>
        <w:tc>
          <w:tcPr>
            <w:tcW w:type="dxa" w:w="4628"/>
            <w:vAlign w:val="top"/>
            <w:tcMar>
              <w:top w:w="45" w:type="dxa"/>
              <w:start w:w="55" w:type="dxa"/>
              <w:bottom w:w="45" w:type="dxa"/>
              <w:end w:w="55" w:type="dxa"/>
            </w:tcMar>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line="240" w:lineRule="auto"/>
            </w:pPr>
            <w:r>
              <w:rPr>
                <w:b w:val="0"/>
                <w:i w:val="0"/>
                <w:rFonts w:ascii="Arial" w:hAnsi="Arial" w:eastAsia="Arial" w:cs="Arial"/>
                <w:sz w:val="20"/>
                <w:szCs w:val="20"/>
              </w:rPr>
              <w:t>Comparator pressure; cross-locus correction; revision; residual discipline.</w:t>
            </w:r>
          </w:p>
        </w:tc>
        <w:tc>
          <w:tcPr>
            <w:tcW w:type="dxa" w:w="3967"/>
            <w:vAlign w:val="top"/>
            <w:tcMar>
              <w:top w:w="45" w:type="dxa"/>
              <w:start w:w="55" w:type="dxa"/>
              <w:bottom w:w="45" w:type="dxa"/>
              <w:end w:w="55" w:type="dxa"/>
            </w:tcMar>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line="240" w:lineRule="auto"/>
            </w:pPr>
            <w:r>
              <w:rPr>
                <w:b w:val="0"/>
                <w:i w:val="0"/>
                <w:rFonts w:ascii="Arial" w:hAnsi="Arial" w:eastAsia="Arial" w:cs="Arial"/>
                <w:sz w:val="20"/>
                <w:szCs w:val="20"/>
              </w:rPr>
              <w:t>Objectivity is not abstraction-free access or consensus alone.</w:t>
            </w:r>
          </w:p>
        </w:tc>
      </w:tr>
      <w:tr>
        <w:trPr>
          <w:cantSplit/>
        </w:trPr>
        <w:tc>
          <w:tcPr>
            <w:tcW w:type="dxa" w:w="2644"/>
            <w:vAlign w:val="top"/>
            <w:tcMar>
              <w:top w:w="45" w:type="dxa"/>
              <w:start w:w="55" w:type="dxa"/>
              <w:bottom w:w="45" w:type="dxa"/>
              <w:end w:w="55" w:type="dxa"/>
            </w:tcMar>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line="240" w:lineRule="auto"/>
            </w:pPr>
            <w:r>
              <w:rPr>
                <w:b w:val="0"/>
                <w:i w:val="0"/>
                <w:rFonts w:ascii="Arial" w:hAnsi="Arial" w:eastAsia="Arial" w:cs="Arial"/>
                <w:sz w:val="20"/>
                <w:szCs w:val="20"/>
              </w:rPr>
              <w:t>14. Scalar architecture</w:t>
            </w:r>
          </w:p>
        </w:tc>
        <w:tc>
          <w:tcPr>
            <w:tcW w:type="dxa" w:w="3305"/>
            <w:vAlign w:val="top"/>
            <w:tcMar>
              <w:top w:w="45" w:type="dxa"/>
              <w:start w:w="55" w:type="dxa"/>
              <w:bottom w:w="45" w:type="dxa"/>
              <w:end w:w="55" w:type="dxa"/>
            </w:tcMar>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line="240" w:lineRule="auto"/>
            </w:pPr>
            <w:r>
              <w:rPr>
                <w:b w:val="0"/>
                <w:i w:val="0"/>
                <w:rFonts w:ascii="Arial" w:hAnsi="Arial" w:eastAsia="Arial" w:cs="Arial"/>
                <w:sz w:val="20"/>
                <w:szCs w:val="20"/>
              </w:rPr>
              <w:t>Stabilises comparability.</w:t>
            </w:r>
          </w:p>
        </w:tc>
        <w:tc>
          <w:tcPr>
            <w:tcW w:type="dxa" w:w="4628"/>
            <w:vAlign w:val="top"/>
            <w:tcMar>
              <w:top w:w="45" w:type="dxa"/>
              <w:start w:w="55" w:type="dxa"/>
              <w:bottom w:w="45" w:type="dxa"/>
              <w:end w:w="55" w:type="dxa"/>
            </w:tcMar>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line="240" w:lineRule="auto"/>
            </w:pPr>
            <w:r>
              <w:rPr>
                <w:b w:val="0"/>
                <w:i w:val="0"/>
                <w:rFonts w:ascii="Arial" w:hAnsi="Arial" w:eastAsia="Arial" w:cs="Arial"/>
                <w:sz w:val="20"/>
                <w:szCs w:val="20"/>
              </w:rPr>
              <w:t>Physical magnitude; reference scale; operative scale; scale-fixing; alignment.</w:t>
            </w:r>
          </w:p>
        </w:tc>
        <w:tc>
          <w:tcPr>
            <w:tcW w:type="dxa" w:w="3967"/>
            <w:vAlign w:val="top"/>
            <w:tcMar>
              <w:top w:w="45" w:type="dxa"/>
              <w:start w:w="55" w:type="dxa"/>
              <w:bottom w:w="45" w:type="dxa"/>
              <w:end w:w="55" w:type="dxa"/>
            </w:tcMar>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line="240" w:lineRule="auto"/>
            </w:pPr>
            <w:r>
              <w:rPr>
                <w:b w:val="0"/>
                <w:i w:val="0"/>
                <w:rFonts w:ascii="Arial" w:hAnsi="Arial" w:eastAsia="Arial" w:cs="Arial"/>
                <w:sz w:val="20"/>
                <w:szCs w:val="20"/>
              </w:rPr>
              <w:t>Scale is not size, unit, or analyst choice; magnitude is not created by perspective.</w:t>
            </w:r>
          </w:p>
        </w:tc>
      </w:tr>
      <w:tr>
        <w:trPr>
          <w:cantSplit/>
        </w:trPr>
        <w:tc>
          <w:tcPr>
            <w:tcW w:type="dxa" w:w="2644"/>
            <w:vAlign w:val="top"/>
            <w:tcMar>
              <w:top w:w="45" w:type="dxa"/>
              <w:start w:w="55" w:type="dxa"/>
              <w:bottom w:w="45" w:type="dxa"/>
              <w:end w:w="55" w:type="dxa"/>
            </w:tcMar>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line="240" w:lineRule="auto"/>
            </w:pPr>
            <w:r>
              <w:rPr>
                <w:b w:val="0"/>
                <w:i w:val="0"/>
                <w:rFonts w:ascii="Arial" w:hAnsi="Arial" w:eastAsia="Arial" w:cs="Arial"/>
                <w:sz w:val="20"/>
                <w:szCs w:val="20"/>
              </w:rPr>
              <w:t>15. Measurement and Scale Gap</w:t>
            </w:r>
          </w:p>
        </w:tc>
        <w:tc>
          <w:tcPr>
            <w:tcW w:type="dxa" w:w="3305"/>
            <w:vAlign w:val="top"/>
            <w:tcMar>
              <w:top w:w="45" w:type="dxa"/>
              <w:start w:w="55" w:type="dxa"/>
              <w:bottom w:w="45" w:type="dxa"/>
              <w:end w:w="55" w:type="dxa"/>
            </w:tcMar>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line="240" w:lineRule="auto"/>
            </w:pPr>
            <w:r>
              <w:rPr>
                <w:b w:val="0"/>
                <w:i w:val="0"/>
                <w:rFonts w:ascii="Arial" w:hAnsi="Arial" w:eastAsia="Arial" w:cs="Arial"/>
                <w:sz w:val="20"/>
                <w:szCs w:val="20"/>
              </w:rPr>
              <w:t>Registers real relation through scale.</w:t>
            </w:r>
          </w:p>
        </w:tc>
        <w:tc>
          <w:tcPr>
            <w:tcW w:type="dxa" w:w="4628"/>
            <w:vAlign w:val="top"/>
            <w:tcMar>
              <w:top w:w="45" w:type="dxa"/>
              <w:start w:w="55" w:type="dxa"/>
              <w:bottom w:w="45" w:type="dxa"/>
              <w:end w:w="55" w:type="dxa"/>
            </w:tcMar>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line="240" w:lineRule="auto"/>
            </w:pPr>
            <w:r>
              <w:rPr>
                <w:b w:val="0"/>
                <w:i w:val="0"/>
                <w:rFonts w:ascii="Arial" w:hAnsi="Arial" w:eastAsia="Arial" w:cs="Arial"/>
                <w:sz w:val="20"/>
                <w:szCs w:val="20"/>
              </w:rPr>
              <w:t>Measurement RRP; OP; OA; OR; RAS; RSD; Scale Gap; scalar bridge.</w:t>
            </w:r>
          </w:p>
        </w:tc>
        <w:tc>
          <w:tcPr>
            <w:tcW w:type="dxa" w:w="3967"/>
            <w:vAlign w:val="top"/>
            <w:tcMar>
              <w:top w:w="45" w:type="dxa"/>
              <w:start w:w="55" w:type="dxa"/>
              <w:bottom w:w="45" w:type="dxa"/>
              <w:end w:w="55" w:type="dxa"/>
            </w:tcMar>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line="240" w:lineRule="auto"/>
            </w:pPr>
            <w:r>
              <w:rPr>
                <w:b w:val="0"/>
                <w:i w:val="0"/>
                <w:rFonts w:ascii="Arial" w:hAnsi="Arial" w:eastAsia="Arial" w:cs="Arial"/>
                <w:sz w:val="20"/>
                <w:szCs w:val="20"/>
              </w:rPr>
              <w:t>Precision is not alignment; cross-scale transfer requires an explicit bridge.</w:t>
            </w:r>
          </w:p>
        </w:tc>
      </w:tr>
      <w:tr>
        <w:trPr>
          <w:cantSplit/>
        </w:trPr>
        <w:tc>
          <w:tcPr>
            <w:tcW w:type="dxa" w:w="2644"/>
            <w:vAlign w:val="top"/>
            <w:tcMar>
              <w:top w:w="45" w:type="dxa"/>
              <w:start w:w="55" w:type="dxa"/>
              <w:bottom w:w="45" w:type="dxa"/>
              <w:end w:w="55" w:type="dxa"/>
            </w:tcMar>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line="240" w:lineRule="auto"/>
            </w:pPr>
            <w:r>
              <w:rPr>
                <w:b w:val="0"/>
                <w:i w:val="0"/>
                <w:rFonts w:ascii="Arial" w:hAnsi="Arial" w:eastAsia="Arial" w:cs="Arial"/>
                <w:sz w:val="20"/>
                <w:szCs w:val="20"/>
              </w:rPr>
              <w:t>16. Observation program</w:t>
            </w:r>
          </w:p>
        </w:tc>
        <w:tc>
          <w:tcPr>
            <w:tcW w:type="dxa" w:w="3305"/>
            <w:vAlign w:val="top"/>
            <w:tcMar>
              <w:top w:w="45" w:type="dxa"/>
              <w:start w:w="55" w:type="dxa"/>
              <w:bottom w:w="45" w:type="dxa"/>
              <w:end w:w="55" w:type="dxa"/>
            </w:tcMar>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line="240" w:lineRule="auto"/>
            </w:pPr>
            <w:r>
              <w:rPr>
                <w:b w:val="0"/>
                <w:i w:val="0"/>
                <w:rFonts w:ascii="Arial" w:hAnsi="Arial" w:eastAsia="Arial" w:cs="Arial"/>
                <w:sz w:val="20"/>
                <w:szCs w:val="20"/>
              </w:rPr>
              <w:t>Treats observation as organised pathway.</w:t>
            </w:r>
          </w:p>
        </w:tc>
        <w:tc>
          <w:tcPr>
            <w:tcW w:type="dxa" w:w="4628"/>
            <w:vAlign w:val="top"/>
            <w:tcMar>
              <w:top w:w="45" w:type="dxa"/>
              <w:start w:w="55" w:type="dxa"/>
              <w:bottom w:w="45" w:type="dxa"/>
              <w:end w:w="55" w:type="dxa"/>
            </w:tcMar>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line="240" w:lineRule="auto"/>
            </w:pPr>
            <w:r>
              <w:rPr>
                <w:b w:val="0"/>
                <w:i w:val="0"/>
                <w:rFonts w:ascii="Arial" w:hAnsi="Arial" w:eastAsia="Arial" w:cs="Arial"/>
                <w:sz w:val="20"/>
                <w:szCs w:val="20"/>
              </w:rPr>
              <w:t>Registration; retention; possible redeployment; readout; locus; scale; horizon; comparator.</w:t>
            </w:r>
          </w:p>
        </w:tc>
        <w:tc>
          <w:tcPr>
            <w:tcW w:type="dxa" w:w="3967"/>
            <w:vAlign w:val="top"/>
            <w:tcMar>
              <w:top w:w="45" w:type="dxa"/>
              <w:start w:w="55" w:type="dxa"/>
              <w:bottom w:w="45" w:type="dxa"/>
              <w:end w:w="55" w:type="dxa"/>
            </w:tcMar>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line="240" w:lineRule="auto"/>
            </w:pPr>
            <w:r>
              <w:rPr>
                <w:b w:val="0"/>
                <w:i w:val="0"/>
                <w:rFonts w:ascii="Arial" w:hAnsi="Arial" w:eastAsia="Arial" w:cs="Arial"/>
                <w:sz w:val="20"/>
                <w:szCs w:val="20"/>
              </w:rPr>
              <w:t>Threshold status must be established before performance is graded.</w:t>
            </w:r>
          </w:p>
        </w:tc>
      </w:tr>
      <w:tr>
        <w:trPr>
          <w:cantSplit/>
        </w:trPr>
        <w:tc>
          <w:tcPr>
            <w:tcW w:type="dxa" w:w="2644"/>
            <w:vAlign w:val="top"/>
            <w:tcMar>
              <w:top w:w="45" w:type="dxa"/>
              <w:start w:w="55" w:type="dxa"/>
              <w:bottom w:w="45" w:type="dxa"/>
              <w:end w:w="55" w:type="dxa"/>
            </w:tcMar>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line="240" w:lineRule="auto"/>
            </w:pPr>
            <w:r>
              <w:rPr>
                <w:b w:val="0"/>
                <w:i w:val="0"/>
                <w:rFonts w:ascii="Arial" w:hAnsi="Arial" w:eastAsia="Arial" w:cs="Arial"/>
                <w:sz w:val="20"/>
                <w:szCs w:val="20"/>
              </w:rPr>
              <w:t>17. Descriptor layer</w:t>
            </w:r>
          </w:p>
        </w:tc>
        <w:tc>
          <w:tcPr>
            <w:tcW w:type="dxa" w:w="3305"/>
            <w:vAlign w:val="top"/>
            <w:tcMar>
              <w:top w:w="45" w:type="dxa"/>
              <w:start w:w="55" w:type="dxa"/>
              <w:bottom w:w="45" w:type="dxa"/>
              <w:end w:w="55" w:type="dxa"/>
            </w:tcMar>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line="240" w:lineRule="auto"/>
            </w:pPr>
            <w:r>
              <w:rPr>
                <w:b w:val="0"/>
                <w:i w:val="0"/>
                <w:rFonts w:ascii="Arial" w:hAnsi="Arial" w:eastAsia="Arial" w:cs="Arial"/>
                <w:sz w:val="20"/>
                <w:szCs w:val="20"/>
              </w:rPr>
              <w:t>Measures performance and failure.</w:t>
            </w:r>
          </w:p>
        </w:tc>
        <w:tc>
          <w:tcPr>
            <w:tcW w:type="dxa" w:w="4628"/>
            <w:vAlign w:val="top"/>
            <w:tcMar>
              <w:top w:w="45" w:type="dxa"/>
              <w:start w:w="55" w:type="dxa"/>
              <w:bottom w:w="45" w:type="dxa"/>
              <w:end w:w="55" w:type="dxa"/>
            </w:tcMar>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line="240" w:lineRule="auto"/>
            </w:pPr>
            <w:r>
              <w:rPr>
                <w:b w:val="0"/>
                <w:i w:val="0"/>
                <w:rFonts w:ascii="Arial" w:hAnsi="Arial" w:eastAsia="Arial" w:cs="Arial"/>
                <w:sz w:val="20"/>
                <w:szCs w:val="20"/>
              </w:rPr>
              <w:t>OH; CH; RF; OBW; OD; OG; ODr; OL; OCx.</w:t>
            </w:r>
          </w:p>
        </w:tc>
        <w:tc>
          <w:tcPr>
            <w:tcW w:type="dxa" w:w="3967"/>
            <w:vAlign w:val="top"/>
            <w:tcMar>
              <w:top w:w="45" w:type="dxa"/>
              <w:start w:w="55" w:type="dxa"/>
              <w:bottom w:w="45" w:type="dxa"/>
              <w:end w:w="55" w:type="dxa"/>
            </w:tcMar>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line="240" w:lineRule="auto"/>
            </w:pPr>
            <w:r>
              <w:rPr>
                <w:b w:val="0"/>
                <w:i w:val="0"/>
                <w:rFonts w:ascii="Arial" w:hAnsi="Arial" w:eastAsia="Arial" w:cs="Arial"/>
                <w:sz w:val="20"/>
                <w:szCs w:val="20"/>
              </w:rPr>
              <w:t>Descriptors are derived measures, not new primitives or alternate routes to status.</w:t>
            </w:r>
          </w:p>
        </w:tc>
      </w:tr>
      <w:tr>
        <w:trPr>
          <w:cantSplit/>
        </w:trPr>
        <w:tc>
          <w:tcPr>
            <w:tcW w:type="dxa" w:w="2644"/>
            <w:vAlign w:val="top"/>
            <w:tcMar>
              <w:top w:w="45" w:type="dxa"/>
              <w:start w:w="55" w:type="dxa"/>
              <w:bottom w:w="45" w:type="dxa"/>
              <w:end w:w="55" w:type="dxa"/>
            </w:tcMar>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line="240" w:lineRule="auto"/>
            </w:pPr>
            <w:r>
              <w:rPr>
                <w:b w:val="0"/>
                <w:i w:val="0"/>
                <w:rFonts w:ascii="Arial" w:hAnsi="Arial" w:eastAsia="Arial" w:cs="Arial"/>
                <w:sz w:val="20"/>
                <w:szCs w:val="20"/>
              </w:rPr>
              <w:t>18. Failure localisation and residual</w:t>
            </w:r>
          </w:p>
        </w:tc>
        <w:tc>
          <w:tcPr>
            <w:tcW w:type="dxa" w:w="3305"/>
            <w:vAlign w:val="top"/>
            <w:tcMar>
              <w:top w:w="45" w:type="dxa"/>
              <w:start w:w="55" w:type="dxa"/>
              <w:bottom w:w="45" w:type="dxa"/>
              <w:end w:w="55" w:type="dxa"/>
            </w:tcMar>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line="240" w:lineRule="auto"/>
            </w:pPr>
            <w:r>
              <w:rPr>
                <w:b w:val="0"/>
                <w:i w:val="0"/>
                <w:rFonts w:ascii="Arial" w:hAnsi="Arial" w:eastAsia="Arial" w:cs="Arial"/>
                <w:sz w:val="20"/>
                <w:szCs w:val="20"/>
              </w:rPr>
              <w:t>Names where the program fails or remains bounded.</w:t>
            </w:r>
          </w:p>
        </w:tc>
        <w:tc>
          <w:tcPr>
            <w:tcW w:type="dxa" w:w="4628"/>
            <w:vAlign w:val="top"/>
            <w:tcMar>
              <w:top w:w="45" w:type="dxa"/>
              <w:start w:w="55" w:type="dxa"/>
              <w:bottom w:w="45" w:type="dxa"/>
              <w:end w:w="55" w:type="dxa"/>
            </w:tcMar>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line="240" w:lineRule="auto"/>
            </w:pPr>
            <w:r>
              <w:rPr>
                <w:b w:val="0"/>
                <w:i w:val="0"/>
                <w:rFonts w:ascii="Arial" w:hAnsi="Arial" w:eastAsia="Arial" w:cs="Arial"/>
                <w:sz w:val="20"/>
                <w:szCs w:val="20"/>
              </w:rPr>
              <w:t>OP/OA/OR/RAS/OIP/RSD/dependence tests; descriptor bounds; missing condition.</w:t>
            </w:r>
          </w:p>
        </w:tc>
        <w:tc>
          <w:tcPr>
            <w:tcW w:type="dxa" w:w="3967"/>
            <w:vAlign w:val="top"/>
            <w:tcMar>
              <w:top w:w="45" w:type="dxa"/>
              <w:start w:w="55" w:type="dxa"/>
              <w:bottom w:w="45" w:type="dxa"/>
              <w:end w:w="55" w:type="dxa"/>
            </w:tcMar>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line="240" w:lineRule="auto"/>
            </w:pPr>
            <w:r>
              <w:rPr>
                <w:b w:val="0"/>
                <w:i w:val="0"/>
                <w:rFonts w:ascii="Arial" w:hAnsi="Arial" w:eastAsia="Arial" w:cs="Arial"/>
                <w:sz w:val="20"/>
                <w:szCs w:val="20"/>
              </w:rPr>
              <w:t>Localise failure; do not hide uncertainty in status, performance, or closure language.</w:t>
            </w:r>
          </w:p>
        </w:tc>
      </w:tr>
    </w:tbl>
    <w:p>
      <w:pPr>
        <w:rPr>
          <w:rFonts w:ascii="Arial" w:hAnsi="Arial" w:eastAsia="Arial" w:cs="Arial"/>
          <w:sz w:val="22"/>
          <w:szCs w:val="22"/>
        </w:rPr>
        <w:widowControl/>
        <w:spacing w:before="0" w:after="0" w:line="240" w:lineRule="auto"/>
        <w:keepNext/>
      </w:pPr>
      <w:r>
        <w:rPr>
          <w:rFonts w:ascii="Arial" w:hAnsi="Arial" w:eastAsia="Arial" w:cs="Arial"/>
          <w:sz w:val="22"/>
        </w:rPr>
      </w:r>
    </w:p>
    <w:p>
      <w:pPr>
        <w:widowControl/>
      </w:pPr>
      <w:r>
        <w:rPr>
          <w:rFonts w:ascii="Arial" w:hAnsi="Arial" w:eastAsia="Arial" w:cs="Arial"/>
          <w:sz w:val="22"/>
        </w:rPr>
        <w:t>Diagnostic order is not a universal temporal prerequisite. In particular, Paper 3, heading 3.3 permits immediate, embodied, morphological, reactive, or currently registered applied distinction without durable retention. Establish RAS where the claim concerns retained knowledge, record-bearing observation, or a retained-state deployment pathway; do not impose that burden on every intelligence episode.</w:t>
      </w:r>
    </w:p>
    <w:p>
      <w:pPr>
        <w:rPr>
          <w:rFonts w:ascii="Arial" w:hAnsi="Arial" w:eastAsia="Arial" w:cs="Arial"/>
          <w:sz w:val="30"/>
          <w:szCs w:val="30"/>
          <w:b w:val="1"/>
          <w:color w:val="1F4E79"/>
        </w:rPr>
        <w:widowControl/>
        <w:spacing w:before="60" w:after="40" w:line="240" w:lineRule="auto"/>
        <w:pStyle w:val="Heading1"/>
        <w:keepNext/>
        <w:keepLines/>
      </w:pPr>
      <w:r>
        <w:rPr>
          <w:i w:val="0"/>
          <w:rFonts w:ascii="Arial" w:hAnsi="Arial" w:eastAsia="Arial" w:cs="Arial"/>
          <w:sz w:val="30"/>
          <w:szCs w:val="30"/>
          <w:b w:val="1"/>
          <w:color w:val="1F4E79"/>
        </w:rPr>
        <w:t>6. Dependency spine</w:t>
      </w:r>
    </w:p>
    <w:tbl>
      <w:tblPr>
        <w:tblStyle w:val="TableGrid"/>
        <w:tblW w:type="dxa" w:w="14544"/>
        <w:jc w:val="center"/>
        <w:tblLayout w:type="fixed"/>
        <w:tblLook w:firstColumn="1" w:firstRow="1" w:lastColumn="0" w:lastRow="0" w:noHBand="0" w:noVBand="1" w:val="04A0"/>
        <w:tblBorders>
          <w:top w:val="single" w:sz="4" w:color="7F7F7F"/>
          <w:left w:val="single" w:sz="4" w:color="7F7F7F"/>
          <w:bottom w:val="single" w:sz="4" w:color="7F7F7F"/>
          <w:right w:val="single" w:sz="4" w:color="7F7F7F"/>
          <w:insideH w:val="single" w:sz="4" w:color="7F7F7F"/>
          <w:insideV w:val="single" w:sz="4" w:color="7F7F7F"/>
        </w:tblBorders>
      </w:tblPr>
      <w:tblGrid>
        <w:gridCol w:w="793"/>
        <w:gridCol w:w="3967"/>
        <w:gridCol w:w="5289"/>
        <w:gridCol w:w="4495"/>
      </w:tblGrid>
      <w:tr>
        <w:trPr>
          <w:cantSplit/>
          <w:tblHeader w:val="1"/>
        </w:trPr>
        <w:tc>
          <w:tcPr>
            <w:tcW w:type="dxa" w:w="793"/>
            <w:vAlign w:val="center"/>
            <w:shd w:fill="D9EAF7" w:val="clear"/>
            <w:tcMar>
              <w:top w:w="45" w:type="dxa"/>
              <w:start w:w="55" w:type="dxa"/>
              <w:bottom w:w="45" w:type="dxa"/>
              <w:end w:w="55" w:type="dxa"/>
            </w:tcMar>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pPr>
            <w:r>
              <w:rPr>
                <w:i w:val="0"/>
                <w:rFonts w:ascii="Arial" w:hAnsi="Arial" w:eastAsia="Arial" w:cs="Arial"/>
                <w:sz w:val="20"/>
                <w:szCs w:val="20"/>
                <w:b/>
              </w:rPr>
              <w:t>Step</w:t>
            </w:r>
          </w:p>
        </w:tc>
        <w:tc>
          <w:tcPr>
            <w:tcW w:type="dxa" w:w="3967"/>
            <w:vAlign w:val="center"/>
            <w:shd w:fill="D9EAF7" w:val="clear"/>
            <w:tcMar>
              <w:top w:w="45" w:type="dxa"/>
              <w:start w:w="55" w:type="dxa"/>
              <w:bottom w:w="45" w:type="dxa"/>
              <w:end w:w="55" w:type="dxa"/>
            </w:tcMar>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pPr>
            <w:r>
              <w:rPr>
                <w:i w:val="0"/>
                <w:rFonts w:ascii="Arial" w:hAnsi="Arial" w:eastAsia="Arial" w:cs="Arial"/>
                <w:sz w:val="20"/>
                <w:szCs w:val="20"/>
                <w:b/>
              </w:rPr>
              <w:t>Dependency</w:t>
            </w:r>
          </w:p>
        </w:tc>
        <w:tc>
          <w:tcPr>
            <w:tcW w:type="dxa" w:w="5289"/>
            <w:vAlign w:val="center"/>
            <w:shd w:fill="D9EAF7" w:val="clear"/>
            <w:tcMar>
              <w:top w:w="45" w:type="dxa"/>
              <w:start w:w="55" w:type="dxa"/>
              <w:bottom w:w="45" w:type="dxa"/>
              <w:end w:w="55" w:type="dxa"/>
            </w:tcMar>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pPr>
            <w:r>
              <w:rPr>
                <w:i w:val="0"/>
                <w:rFonts w:ascii="Arial" w:hAnsi="Arial" w:eastAsia="Arial" w:cs="Arial"/>
                <w:sz w:val="20"/>
                <w:szCs w:val="20"/>
                <w:b/>
              </w:rPr>
              <w:t>Output</w:t>
            </w:r>
          </w:p>
        </w:tc>
        <w:tc>
          <w:tcPr>
            <w:tcW w:type="dxa" w:w="4495"/>
            <w:vAlign w:val="center"/>
            <w:shd w:fill="D9EAF7" w:val="clear"/>
            <w:tcMar>
              <w:top w:w="45" w:type="dxa"/>
              <w:start w:w="55" w:type="dxa"/>
              <w:bottom w:w="45" w:type="dxa"/>
              <w:end w:w="55" w:type="dxa"/>
            </w:tcMar>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pPr>
            <w:r>
              <w:rPr>
                <w:i w:val="0"/>
                <w:rFonts w:ascii="Arial" w:hAnsi="Arial" w:eastAsia="Arial" w:cs="Arial"/>
                <w:sz w:val="20"/>
                <w:szCs w:val="20"/>
                <w:b/>
              </w:rPr>
              <w:t>If missing / collapsed</w:t>
            </w:r>
          </w:p>
        </w:tc>
      </w:tr>
      <w:tr>
        <w:trPr>
          <w:cantSplit/>
        </w:trPr>
        <w:tc>
          <w:tcPr>
            <w:tcW w:type="dxa" w:w="793"/>
            <w:vAlign w:val="top"/>
            <w:tcMar>
              <w:top w:w="45" w:type="dxa"/>
              <w:start w:w="55" w:type="dxa"/>
              <w:bottom w:w="45" w:type="dxa"/>
              <w:end w:w="55" w:type="dxa"/>
            </w:tcMar>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line="240" w:lineRule="auto"/>
            </w:pPr>
            <w:r>
              <w:rPr>
                <w:b w:val="0"/>
                <w:i w:val="0"/>
                <w:rFonts w:ascii="Arial" w:hAnsi="Arial" w:eastAsia="Arial" w:cs="Arial"/>
                <w:sz w:val="20"/>
                <w:szCs w:val="20"/>
              </w:rPr>
              <w:t>1</w:t>
            </w:r>
          </w:p>
        </w:tc>
        <w:tc>
          <w:tcPr>
            <w:tcW w:type="dxa" w:w="3967"/>
            <w:vAlign w:val="top"/>
            <w:tcMar>
              <w:top w:w="45" w:type="dxa"/>
              <w:start w:w="55" w:type="dxa"/>
              <w:bottom w:w="45" w:type="dxa"/>
              <w:end w:w="55" w:type="dxa"/>
            </w:tcMar>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line="240" w:lineRule="auto"/>
            </w:pPr>
            <w:r>
              <w:rPr>
                <w:b w:val="0"/>
                <w:i w:val="0"/>
                <w:rFonts w:ascii="Arial" w:hAnsi="Arial" w:eastAsia="Arial" w:cs="Arial"/>
                <w:sz w:val="20"/>
                <w:szCs w:val="20"/>
              </w:rPr>
              <w:t>Specify RRP and focal locus.</w:t>
            </w:r>
          </w:p>
        </w:tc>
        <w:tc>
          <w:tcPr>
            <w:tcW w:type="dxa" w:w="5289"/>
            <w:vAlign w:val="top"/>
            <w:tcMar>
              <w:top w:w="45" w:type="dxa"/>
              <w:start w:w="55" w:type="dxa"/>
              <w:bottom w:w="45" w:type="dxa"/>
              <w:end w:w="55" w:type="dxa"/>
            </w:tcMar>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line="240" w:lineRule="auto"/>
            </w:pPr>
            <w:r>
              <w:rPr>
                <w:b w:val="0"/>
                <w:i w:val="0"/>
                <w:rFonts w:ascii="Arial" w:hAnsi="Arial" w:eastAsia="Arial" w:cs="Arial"/>
                <w:sz w:val="20"/>
                <w:szCs w:val="20"/>
              </w:rPr>
              <w:t>Evaluable claim with boundary, interface, scale, horizon, abstraction, noise, and comparator conditions.</w:t>
            </w:r>
          </w:p>
        </w:tc>
        <w:tc>
          <w:tcPr>
            <w:tcW w:type="dxa" w:w="4495"/>
            <w:vAlign w:val="top"/>
            <w:tcMar>
              <w:top w:w="45" w:type="dxa"/>
              <w:start w:w="55" w:type="dxa"/>
              <w:bottom w:w="45" w:type="dxa"/>
              <w:end w:w="55" w:type="dxa"/>
            </w:tcMar>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line="240" w:lineRule="auto"/>
            </w:pPr>
            <w:r>
              <w:rPr>
                <w:b w:val="0"/>
                <w:i w:val="0"/>
                <w:rFonts w:ascii="Arial" w:hAnsi="Arial" w:eastAsia="Arial" w:cs="Arial"/>
                <w:sz w:val="20"/>
                <w:szCs w:val="20"/>
              </w:rPr>
              <w:t>Locus drift or unindexed claim.</w:t>
            </w:r>
          </w:p>
        </w:tc>
      </w:tr>
      <w:tr>
        <w:trPr>
          <w:cantSplit/>
        </w:trPr>
        <w:tc>
          <w:tcPr>
            <w:tcW w:type="dxa" w:w="793"/>
            <w:vAlign w:val="top"/>
            <w:tcMar>
              <w:top w:w="45" w:type="dxa"/>
              <w:start w:w="55" w:type="dxa"/>
              <w:bottom w:w="45" w:type="dxa"/>
              <w:end w:w="55" w:type="dxa"/>
            </w:tcMar>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line="240" w:lineRule="auto"/>
            </w:pPr>
            <w:r>
              <w:rPr>
                <w:b w:val="0"/>
                <w:i w:val="0"/>
                <w:rFonts w:ascii="Arial" w:hAnsi="Arial" w:eastAsia="Arial" w:cs="Arial"/>
                <w:sz w:val="20"/>
                <w:szCs w:val="20"/>
              </w:rPr>
              <w:t>2</w:t>
            </w:r>
          </w:p>
        </w:tc>
        <w:tc>
          <w:tcPr>
            <w:tcW w:type="dxa" w:w="3967"/>
            <w:vAlign w:val="top"/>
            <w:tcMar>
              <w:top w:w="45" w:type="dxa"/>
              <w:start w:w="55" w:type="dxa"/>
              <w:bottom w:w="45" w:type="dxa"/>
              <w:end w:w="55" w:type="dxa"/>
            </w:tcMar>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line="240" w:lineRule="auto"/>
            </w:pPr>
            <w:r>
              <w:rPr>
                <w:b w:val="0"/>
                <w:i w:val="0"/>
                <w:rFonts w:ascii="Arial" w:hAnsi="Arial" w:eastAsia="Arial" w:cs="Arial"/>
                <w:sz w:val="20"/>
                <w:szCs w:val="20"/>
              </w:rPr>
              <w:t>Establish OP and OA.</w:t>
            </w:r>
          </w:p>
        </w:tc>
        <w:tc>
          <w:tcPr>
            <w:tcW w:type="dxa" w:w="5289"/>
            <w:vAlign w:val="top"/>
            <w:tcMar>
              <w:top w:w="45" w:type="dxa"/>
              <w:start w:w="55" w:type="dxa"/>
              <w:bottom w:w="45" w:type="dxa"/>
              <w:end w:w="55" w:type="dxa"/>
            </w:tcMar>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line="240" w:lineRule="auto"/>
            </w:pPr>
            <w:r>
              <w:rPr>
                <w:b w:val="0"/>
                <w:i w:val="0"/>
                <w:rFonts w:ascii="Arial" w:hAnsi="Arial" w:eastAsia="Arial" w:cs="Arial"/>
                <w:sz w:val="20"/>
                <w:szCs w:val="20"/>
              </w:rPr>
              <w:t>Available, classed alternatives.</w:t>
            </w:r>
          </w:p>
        </w:tc>
        <w:tc>
          <w:tcPr>
            <w:tcW w:type="dxa" w:w="4495"/>
            <w:vAlign w:val="top"/>
            <w:tcMar>
              <w:top w:w="45" w:type="dxa"/>
              <w:start w:w="55" w:type="dxa"/>
              <w:bottom w:w="45" w:type="dxa"/>
              <w:end w:w="55" w:type="dxa"/>
            </w:tcMar>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line="240" w:lineRule="auto"/>
            </w:pPr>
            <w:r>
              <w:rPr>
                <w:b w:val="0"/>
                <w:i w:val="0"/>
                <w:rFonts w:ascii="Arial" w:hAnsi="Arial" w:eastAsia="Arial" w:cs="Arial"/>
                <w:sz w:val="20"/>
                <w:szCs w:val="20"/>
              </w:rPr>
              <w:t>No available or registerable distinction.</w:t>
            </w:r>
          </w:p>
        </w:tc>
      </w:tr>
      <w:tr>
        <w:trPr>
          <w:cantSplit/>
        </w:trPr>
        <w:tc>
          <w:tcPr>
            <w:tcW w:type="dxa" w:w="793"/>
            <w:vAlign w:val="top"/>
            <w:tcMar>
              <w:top w:w="45" w:type="dxa"/>
              <w:start w:w="55" w:type="dxa"/>
              <w:bottom w:w="45" w:type="dxa"/>
              <w:end w:w="55" w:type="dxa"/>
            </w:tcMar>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line="240" w:lineRule="auto"/>
            </w:pPr>
            <w:r>
              <w:rPr>
                <w:b w:val="0"/>
                <w:i w:val="0"/>
                <w:rFonts w:ascii="Arial" w:hAnsi="Arial" w:eastAsia="Arial" w:cs="Arial"/>
                <w:sz w:val="20"/>
                <w:szCs w:val="20"/>
              </w:rPr>
              <w:t>3</w:t>
            </w:r>
          </w:p>
        </w:tc>
        <w:tc>
          <w:tcPr>
            <w:tcW w:type="dxa" w:w="3967"/>
            <w:vAlign w:val="top"/>
            <w:tcMar>
              <w:top w:w="45" w:type="dxa"/>
              <w:start w:w="55" w:type="dxa"/>
              <w:bottom w:w="45" w:type="dxa"/>
              <w:end w:w="55" w:type="dxa"/>
            </w:tcMar>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line="240" w:lineRule="auto"/>
            </w:pPr>
            <w:r>
              <w:rPr>
                <w:b w:val="0"/>
                <w:i w:val="0"/>
                <w:rFonts w:ascii="Arial" w:hAnsi="Arial" w:eastAsia="Arial" w:cs="Arial"/>
                <w:sz w:val="20"/>
                <w:szCs w:val="20"/>
              </w:rPr>
              <w:t>For retained-record claims, establish OR and RAS.</w:t>
            </w:r>
          </w:p>
        </w:tc>
        <w:tc>
          <w:tcPr>
            <w:tcW w:type="dxa" w:w="5289"/>
            <w:vAlign w:val="top"/>
            <w:tcMar>
              <w:top w:w="45" w:type="dxa"/>
              <w:start w:w="55" w:type="dxa"/>
              <w:bottom w:w="45" w:type="dxa"/>
              <w:end w:w="55" w:type="dxa"/>
            </w:tcMar>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line="240" w:lineRule="auto"/>
            </w:pPr>
            <w:r>
              <w:rPr>
                <w:b w:val="0"/>
                <w:i w:val="0"/>
                <w:rFonts w:ascii="Arial" w:hAnsi="Arial" w:eastAsia="Arial" w:cs="Arial"/>
                <w:sz w:val="20"/>
                <w:szCs w:val="20"/>
              </w:rPr>
              <w:t>Registered and retained discriminator; if absent, TK/TO record-presence is not established. This is not a universal durable-retention prerequisite for applied intelligence.</w:t>
            </w:r>
          </w:p>
        </w:tc>
        <w:tc>
          <w:tcPr>
            <w:tcW w:type="dxa" w:w="4495"/>
            <w:vAlign w:val="top"/>
            <w:tcMar>
              <w:top w:w="45" w:type="dxa"/>
              <w:start w:w="55" w:type="dxa"/>
              <w:bottom w:w="45" w:type="dxa"/>
              <w:end w:w="55" w:type="dxa"/>
            </w:tcMar>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line="240" w:lineRule="auto"/>
            </w:pPr>
            <w:r>
              <w:rPr>
                <w:b w:val="0"/>
                <w:i w:val="0"/>
                <w:rFonts w:ascii="Arial" w:hAnsi="Arial" w:eastAsia="Arial" w:cs="Arial"/>
                <w:sz w:val="20"/>
                <w:szCs w:val="20"/>
              </w:rPr>
              <w:t>Below TK and below TO record-presence.</w:t>
            </w:r>
          </w:p>
        </w:tc>
      </w:tr>
      <w:tr>
        <w:trPr>
          <w:cantSplit/>
        </w:trPr>
        <w:tc>
          <w:tcPr>
            <w:tcW w:type="dxa" w:w="793"/>
            <w:vAlign w:val="top"/>
            <w:tcMar>
              <w:top w:w="45" w:type="dxa"/>
              <w:start w:w="55" w:type="dxa"/>
              <w:bottom w:w="45" w:type="dxa"/>
              <w:end w:w="55" w:type="dxa"/>
            </w:tcMar>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line="240" w:lineRule="auto"/>
            </w:pPr>
            <w:r>
              <w:rPr>
                <w:b w:val="0"/>
                <w:i w:val="0"/>
                <w:rFonts w:ascii="Arial" w:hAnsi="Arial" w:eastAsia="Arial" w:cs="Arial"/>
                <w:sz w:val="20"/>
                <w:szCs w:val="20"/>
              </w:rPr>
              <w:t>4</w:t>
            </w:r>
          </w:p>
        </w:tc>
        <w:tc>
          <w:tcPr>
            <w:tcW w:type="dxa" w:w="3967"/>
            <w:vAlign w:val="top"/>
            <w:tcMar>
              <w:top w:w="45" w:type="dxa"/>
              <w:start w:w="55" w:type="dxa"/>
              <w:bottom w:w="45" w:type="dxa"/>
              <w:end w:w="55" w:type="dxa"/>
            </w:tcMar>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line="240" w:lineRule="auto"/>
            </w:pPr>
            <w:r>
              <w:rPr>
                <w:b w:val="0"/>
                <w:i w:val="0"/>
                <w:rFonts w:ascii="Arial" w:hAnsi="Arial" w:eastAsia="Arial" w:cs="Arial"/>
                <w:sz w:val="20"/>
                <w:szCs w:val="20"/>
              </w:rPr>
              <w:t>Assign knowledge status.</w:t>
            </w:r>
          </w:p>
        </w:tc>
        <w:tc>
          <w:tcPr>
            <w:tcW w:type="dxa" w:w="5289"/>
            <w:vAlign w:val="top"/>
            <w:tcMar>
              <w:top w:w="45" w:type="dxa"/>
              <w:start w:w="55" w:type="dxa"/>
              <w:bottom w:w="45" w:type="dxa"/>
              <w:end w:w="55" w:type="dxa"/>
            </w:tcMar>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line="240" w:lineRule="auto"/>
            </w:pPr>
            <w:r>
              <w:rPr>
                <w:b w:val="0"/>
                <w:i w:val="0"/>
                <w:rFonts w:ascii="Arial" w:hAnsi="Arial" w:eastAsia="Arial" w:cs="Arial"/>
                <w:sz w:val="20"/>
                <w:szCs w:val="20"/>
              </w:rPr>
              <w:t>TK, KIP, or NTK.</w:t>
            </w:r>
          </w:p>
        </w:tc>
        <w:tc>
          <w:tcPr>
            <w:tcW w:type="dxa" w:w="4495"/>
            <w:vAlign w:val="top"/>
            <w:tcMar>
              <w:top w:w="45" w:type="dxa"/>
              <w:start w:w="55" w:type="dxa"/>
              <w:bottom w:w="45" w:type="dxa"/>
              <w:end w:w="55" w:type="dxa"/>
            </w:tcMar>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line="240" w:lineRule="auto"/>
            </w:pPr>
            <w:r>
              <w:rPr>
                <w:b w:val="0"/>
                <w:i w:val="0"/>
                <w:rFonts w:ascii="Arial" w:hAnsi="Arial" w:eastAsia="Arial" w:cs="Arial"/>
                <w:sz w:val="20"/>
                <w:szCs w:val="20"/>
              </w:rPr>
              <w:t>Retention, consultability, or realised deployment remains unresolved.</w:t>
            </w:r>
          </w:p>
        </w:tc>
      </w:tr>
      <w:tr>
        <w:trPr>
          <w:cantSplit/>
        </w:trPr>
        <w:tc>
          <w:tcPr>
            <w:tcW w:type="dxa" w:w="793"/>
            <w:vAlign w:val="top"/>
            <w:tcMar>
              <w:top w:w="45" w:type="dxa"/>
              <w:start w:w="55" w:type="dxa"/>
              <w:bottom w:w="45" w:type="dxa"/>
              <w:end w:w="55" w:type="dxa"/>
            </w:tcMar>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line="240" w:lineRule="auto"/>
            </w:pPr>
            <w:r>
              <w:rPr>
                <w:b w:val="0"/>
                <w:i w:val="0"/>
                <w:rFonts w:ascii="Arial" w:hAnsi="Arial" w:eastAsia="Arial" w:cs="Arial"/>
                <w:sz w:val="20"/>
                <w:szCs w:val="20"/>
              </w:rPr>
              <w:t>5</w:t>
            </w:r>
          </w:p>
        </w:tc>
        <w:tc>
          <w:tcPr>
            <w:tcW w:type="dxa" w:w="3967"/>
            <w:vAlign w:val="top"/>
            <w:tcMar>
              <w:top w:w="45" w:type="dxa"/>
              <w:start w:w="55" w:type="dxa"/>
              <w:bottom w:w="45" w:type="dxa"/>
              <w:end w:w="55" w:type="dxa"/>
            </w:tcMar>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line="240" w:lineRule="auto"/>
            </w:pPr>
            <w:r>
              <w:rPr>
                <w:b w:val="0"/>
                <w:i w:val="0"/>
                <w:rFonts w:ascii="Arial" w:hAnsi="Arial" w:eastAsia="Arial" w:cs="Arial"/>
                <w:sz w:val="20"/>
                <w:szCs w:val="20"/>
              </w:rPr>
              <w:t>Identify producing provenance where relevant.</w:t>
            </w:r>
          </w:p>
        </w:tc>
        <w:tc>
          <w:tcPr>
            <w:tcW w:type="dxa" w:w="5289"/>
            <w:vAlign w:val="top"/>
            <w:tcMar>
              <w:top w:w="45" w:type="dxa"/>
              <w:start w:w="55" w:type="dxa"/>
              <w:bottom w:w="45" w:type="dxa"/>
              <w:end w:w="55" w:type="dxa"/>
            </w:tcMar>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line="240" w:lineRule="auto"/>
            </w:pPr>
            <w:r>
              <w:rPr>
                <w:b w:val="0"/>
                <w:i w:val="0"/>
                <w:rFonts w:ascii="Arial" w:hAnsi="Arial" w:eastAsia="Arial" w:cs="Arial"/>
                <w:sz w:val="20"/>
                <w:szCs w:val="20"/>
              </w:rPr>
              <w:t>Found distinction or made distinction fixed by a producing locus.</w:t>
            </w:r>
          </w:p>
        </w:tc>
        <w:tc>
          <w:tcPr>
            <w:tcW w:type="dxa" w:w="4495"/>
            <w:vAlign w:val="top"/>
            <w:tcMar>
              <w:top w:w="45" w:type="dxa"/>
              <w:start w:w="55" w:type="dxa"/>
              <w:bottom w:w="45" w:type="dxa"/>
              <w:end w:w="55" w:type="dxa"/>
            </w:tcMar>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line="240" w:lineRule="auto"/>
            </w:pPr>
            <w:r>
              <w:rPr>
                <w:b w:val="0"/>
                <w:i w:val="0"/>
                <w:rFonts w:ascii="Arial" w:hAnsi="Arial" w:eastAsia="Arial" w:cs="Arial"/>
                <w:sz w:val="20"/>
                <w:szCs w:val="20"/>
              </w:rPr>
              <w:t>Passive/active information collapse or provenance inversion.</w:t>
            </w:r>
          </w:p>
        </w:tc>
      </w:tr>
      <w:tr>
        <w:trPr>
          <w:cantSplit/>
        </w:trPr>
        <w:tc>
          <w:tcPr>
            <w:tcW w:type="dxa" w:w="793"/>
            <w:vAlign w:val="top"/>
            <w:tcMar>
              <w:top w:w="45" w:type="dxa"/>
              <w:start w:w="55" w:type="dxa"/>
              <w:bottom w:w="45" w:type="dxa"/>
              <w:end w:w="55" w:type="dxa"/>
            </w:tcMar>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line="240" w:lineRule="auto"/>
            </w:pPr>
            <w:r>
              <w:rPr>
                <w:b w:val="0"/>
                <w:i w:val="0"/>
                <w:rFonts w:ascii="Arial" w:hAnsi="Arial" w:eastAsia="Arial" w:cs="Arial"/>
                <w:sz w:val="20"/>
                <w:szCs w:val="20"/>
              </w:rPr>
              <w:t>6</w:t>
            </w:r>
          </w:p>
        </w:tc>
        <w:tc>
          <w:tcPr>
            <w:tcW w:type="dxa" w:w="3967"/>
            <w:vAlign w:val="top"/>
            <w:tcMar>
              <w:top w:w="45" w:type="dxa"/>
              <w:start w:w="55" w:type="dxa"/>
              <w:bottom w:w="45" w:type="dxa"/>
              <w:end w:w="55" w:type="dxa"/>
            </w:tcMar>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line="240" w:lineRule="auto"/>
            </w:pPr>
            <w:r>
              <w:rPr>
                <w:b w:val="0"/>
                <w:i w:val="0"/>
                <w:rFonts w:ascii="Arial" w:hAnsi="Arial" w:eastAsia="Arial" w:cs="Arial"/>
                <w:sz w:val="20"/>
                <w:szCs w:val="20"/>
              </w:rPr>
              <w:t>Test present application.</w:t>
            </w:r>
          </w:p>
        </w:tc>
        <w:tc>
          <w:tcPr>
            <w:tcW w:type="dxa" w:w="5289"/>
            <w:vAlign w:val="top"/>
            <w:tcMar>
              <w:top w:w="45" w:type="dxa"/>
              <w:start w:w="55" w:type="dxa"/>
              <w:bottom w:w="45" w:type="dxa"/>
              <w:end w:w="55" w:type="dxa"/>
            </w:tcMar>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line="240" w:lineRule="auto"/>
            </w:pPr>
            <w:r>
              <w:rPr>
                <w:b w:val="0"/>
                <w:i w:val="0"/>
                <w:rFonts w:ascii="Arial" w:hAnsi="Arial" w:eastAsia="Arial" w:cs="Arial"/>
                <w:sz w:val="20"/>
                <w:szCs w:val="20"/>
              </w:rPr>
              <w:t>Applied distinction altering branch-space.</w:t>
            </w:r>
          </w:p>
        </w:tc>
        <w:tc>
          <w:tcPr>
            <w:tcW w:type="dxa" w:w="4495"/>
            <w:vAlign w:val="top"/>
            <w:tcMar>
              <w:top w:w="45" w:type="dxa"/>
              <w:start w:w="55" w:type="dxa"/>
              <w:bottom w:w="45" w:type="dxa"/>
              <w:end w:w="55" w:type="dxa"/>
            </w:tcMar>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line="240" w:lineRule="auto"/>
            </w:pPr>
            <w:r>
              <w:rPr>
                <w:b w:val="0"/>
                <w:i w:val="0"/>
                <w:rFonts w:ascii="Arial" w:hAnsi="Arial" w:eastAsia="Arial" w:cs="Arial"/>
                <w:sz w:val="20"/>
                <w:szCs w:val="20"/>
              </w:rPr>
              <w:t>Useful constraint or stored form misdescribed as intelligence.</w:t>
            </w:r>
          </w:p>
        </w:tc>
      </w:tr>
      <w:tr>
        <w:trPr>
          <w:cantSplit/>
        </w:trPr>
        <w:tc>
          <w:tcPr>
            <w:tcW w:type="dxa" w:w="793"/>
            <w:vAlign w:val="top"/>
            <w:tcMar>
              <w:top w:w="45" w:type="dxa"/>
              <w:start w:w="55" w:type="dxa"/>
              <w:bottom w:w="45" w:type="dxa"/>
              <w:end w:w="55" w:type="dxa"/>
            </w:tcMar>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line="240" w:lineRule="auto"/>
            </w:pPr>
            <w:r>
              <w:rPr>
                <w:b w:val="0"/>
                <w:i w:val="0"/>
                <w:rFonts w:ascii="Arial" w:hAnsi="Arial" w:eastAsia="Arial" w:cs="Arial"/>
                <w:sz w:val="20"/>
                <w:szCs w:val="20"/>
              </w:rPr>
              <w:t>7</w:t>
            </w:r>
          </w:p>
        </w:tc>
        <w:tc>
          <w:tcPr>
            <w:tcW w:type="dxa" w:w="3967"/>
            <w:vAlign w:val="top"/>
            <w:tcMar>
              <w:top w:w="45" w:type="dxa"/>
              <w:start w:w="55" w:type="dxa"/>
              <w:bottom w:w="45" w:type="dxa"/>
              <w:end w:w="55" w:type="dxa"/>
            </w:tcMar>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line="240" w:lineRule="auto"/>
            </w:pPr>
            <w:r>
              <w:rPr>
                <w:b w:val="0"/>
                <w:i w:val="0"/>
                <w:rFonts w:ascii="Arial" w:hAnsi="Arial" w:eastAsia="Arial" w:cs="Arial"/>
                <w:sz w:val="20"/>
                <w:szCs w:val="20"/>
              </w:rPr>
              <w:t>Apply comparator and IPL discipline.</w:t>
            </w:r>
          </w:p>
        </w:tc>
        <w:tc>
          <w:tcPr>
            <w:tcW w:type="dxa" w:w="5289"/>
            <w:vAlign w:val="top"/>
            <w:tcMar>
              <w:top w:w="45" w:type="dxa"/>
              <w:start w:w="55" w:type="dxa"/>
              <w:bottom w:w="45" w:type="dxa"/>
              <w:end w:w="55" w:type="dxa"/>
            </w:tcMar>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line="240" w:lineRule="auto"/>
            </w:pPr>
            <w:r>
              <w:rPr>
                <w:b w:val="0"/>
                <w:i w:val="0"/>
                <w:rFonts w:ascii="Arial" w:hAnsi="Arial" w:eastAsia="Arial" w:cs="Arial"/>
                <w:sz w:val="20"/>
                <w:szCs w:val="20"/>
              </w:rPr>
              <w:t>Supported NTK/NTI/NTO dependence where claimed.</w:t>
            </w:r>
          </w:p>
        </w:tc>
        <w:tc>
          <w:tcPr>
            <w:tcW w:type="dxa" w:w="4495"/>
            <w:vAlign w:val="top"/>
            <w:tcMar>
              <w:top w:w="45" w:type="dxa"/>
              <w:start w:w="55" w:type="dxa"/>
              <w:bottom w:w="45" w:type="dxa"/>
              <w:end w:w="55" w:type="dxa"/>
            </w:tcMar>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line="240" w:lineRule="auto"/>
            </w:pPr>
            <w:r>
              <w:rPr>
                <w:b w:val="0"/>
                <w:i w:val="0"/>
                <w:rFonts w:ascii="Arial" w:hAnsi="Arial" w:eastAsia="Arial" w:cs="Arial"/>
                <w:sz w:val="20"/>
                <w:szCs w:val="20"/>
              </w:rPr>
              <w:t>Success or correlation without localised mechanism.</w:t>
            </w:r>
          </w:p>
        </w:tc>
      </w:tr>
      <w:tr>
        <w:trPr>
          <w:cantSplit/>
        </w:trPr>
        <w:tc>
          <w:tcPr>
            <w:tcW w:type="dxa" w:w="793"/>
            <w:vAlign w:val="top"/>
            <w:tcMar>
              <w:top w:w="45" w:type="dxa"/>
              <w:start w:w="55" w:type="dxa"/>
              <w:bottom w:w="45" w:type="dxa"/>
              <w:end w:w="55" w:type="dxa"/>
            </w:tcMar>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line="240" w:lineRule="auto"/>
            </w:pPr>
            <w:r>
              <w:rPr>
                <w:b w:val="0"/>
                <w:i w:val="0"/>
                <w:rFonts w:ascii="Arial" w:hAnsi="Arial" w:eastAsia="Arial" w:cs="Arial"/>
                <w:sz w:val="20"/>
                <w:szCs w:val="20"/>
              </w:rPr>
              <w:t>8</w:t>
            </w:r>
          </w:p>
        </w:tc>
        <w:tc>
          <w:tcPr>
            <w:tcW w:type="dxa" w:w="3967"/>
            <w:vAlign w:val="top"/>
            <w:tcMar>
              <w:top w:w="45" w:type="dxa"/>
              <w:start w:w="55" w:type="dxa"/>
              <w:bottom w:w="45" w:type="dxa"/>
              <w:end w:w="55" w:type="dxa"/>
            </w:tcMar>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line="240" w:lineRule="auto"/>
            </w:pPr>
            <w:r>
              <w:rPr>
                <w:b w:val="0"/>
                <w:i w:val="0"/>
                <w:rFonts w:ascii="Arial" w:hAnsi="Arial" w:eastAsia="Arial" w:cs="Arial"/>
                <w:sz w:val="20"/>
                <w:szCs w:val="20"/>
              </w:rPr>
              <w:t>Assign observation status and observer-status.</w:t>
            </w:r>
          </w:p>
        </w:tc>
        <w:tc>
          <w:tcPr>
            <w:tcW w:type="dxa" w:w="5289"/>
            <w:vAlign w:val="top"/>
            <w:tcMar>
              <w:top w:w="45" w:type="dxa"/>
              <w:start w:w="55" w:type="dxa"/>
              <w:bottom w:w="45" w:type="dxa"/>
              <w:end w:w="55" w:type="dxa"/>
            </w:tcMar>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line="240" w:lineRule="auto"/>
            </w:pPr>
            <w:r>
              <w:rPr>
                <w:b w:val="0"/>
                <w:i w:val="0"/>
                <w:rFonts w:ascii="Arial" w:hAnsi="Arial" w:eastAsia="Arial" w:cs="Arial"/>
                <w:sz w:val="20"/>
                <w:szCs w:val="20"/>
              </w:rPr>
              <w:t>Pre-TO, TO, OIP/observer-locus, or NTO/Observer.</w:t>
            </w:r>
          </w:p>
        </w:tc>
        <w:tc>
          <w:tcPr>
            <w:tcW w:type="dxa" w:w="4495"/>
            <w:vAlign w:val="top"/>
            <w:tcMar>
              <w:top w:w="45" w:type="dxa"/>
              <w:start w:w="55" w:type="dxa"/>
              <w:bottom w:w="45" w:type="dxa"/>
              <w:end w:w="55" w:type="dxa"/>
            </w:tcMar>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line="240" w:lineRule="auto"/>
            </w:pPr>
            <w:r>
              <w:rPr>
                <w:b w:val="0"/>
                <w:i w:val="0"/>
                <w:rFonts w:ascii="Arial" w:hAnsi="Arial" w:eastAsia="Arial" w:cs="Arial"/>
                <w:sz w:val="20"/>
                <w:szCs w:val="20"/>
              </w:rPr>
              <w:t>Record/capacity/realised operation collapse.</w:t>
            </w:r>
          </w:p>
        </w:tc>
      </w:tr>
      <w:tr>
        <w:trPr>
          <w:cantSplit/>
        </w:trPr>
        <w:tc>
          <w:tcPr>
            <w:tcW w:type="dxa" w:w="793"/>
            <w:vAlign w:val="top"/>
            <w:tcMar>
              <w:top w:w="45" w:type="dxa"/>
              <w:start w:w="55" w:type="dxa"/>
              <w:bottom w:w="45" w:type="dxa"/>
              <w:end w:w="55" w:type="dxa"/>
            </w:tcMar>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line="240" w:lineRule="auto"/>
            </w:pPr>
            <w:r>
              <w:rPr>
                <w:b w:val="0"/>
                <w:i w:val="0"/>
                <w:rFonts w:ascii="Arial" w:hAnsi="Arial" w:eastAsia="Arial" w:cs="Arial"/>
                <w:sz w:val="20"/>
                <w:szCs w:val="20"/>
              </w:rPr>
              <w:t>9</w:t>
            </w:r>
          </w:p>
        </w:tc>
        <w:tc>
          <w:tcPr>
            <w:tcW w:type="dxa" w:w="3967"/>
            <w:vAlign w:val="top"/>
            <w:tcMar>
              <w:top w:w="45" w:type="dxa"/>
              <w:start w:w="55" w:type="dxa"/>
              <w:bottom w:w="45" w:type="dxa"/>
              <w:end w:w="55" w:type="dxa"/>
            </w:tcMar>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line="240" w:lineRule="auto"/>
            </w:pPr>
            <w:r>
              <w:rPr>
                <w:b w:val="0"/>
                <w:i w:val="0"/>
                <w:rFonts w:ascii="Arial" w:hAnsi="Arial" w:eastAsia="Arial" w:cs="Arial"/>
                <w:sz w:val="20"/>
                <w:szCs w:val="20"/>
              </w:rPr>
              <w:t>Expose the observational cut.</w:t>
            </w:r>
          </w:p>
        </w:tc>
        <w:tc>
          <w:tcPr>
            <w:tcW w:type="dxa" w:w="5289"/>
            <w:vAlign w:val="top"/>
            <w:tcMar>
              <w:top w:w="45" w:type="dxa"/>
              <w:start w:w="55" w:type="dxa"/>
              <w:bottom w:w="45" w:type="dxa"/>
              <w:end w:w="55" w:type="dxa"/>
            </w:tcMar>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line="240" w:lineRule="auto"/>
            </w:pPr>
            <w:r>
              <w:rPr>
                <w:b w:val="0"/>
                <w:i w:val="0"/>
                <w:rFonts w:ascii="Arial" w:hAnsi="Arial" w:eastAsia="Arial" w:cs="Arial"/>
                <w:sz w:val="20"/>
                <w:szCs w:val="20"/>
              </w:rPr>
              <w:t>Specified admission, exclusion, compression, and classing conditions.</w:t>
            </w:r>
          </w:p>
        </w:tc>
        <w:tc>
          <w:tcPr>
            <w:tcW w:type="dxa" w:w="4495"/>
            <w:vAlign w:val="top"/>
            <w:tcMar>
              <w:top w:w="45" w:type="dxa"/>
              <w:start w:w="55" w:type="dxa"/>
              <w:bottom w:w="45" w:type="dxa"/>
              <w:end w:w="55" w:type="dxa"/>
            </w:tcMar>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line="240" w:lineRule="auto"/>
            </w:pPr>
            <w:r>
              <w:rPr>
                <w:b w:val="0"/>
                <w:i w:val="0"/>
                <w:rFonts w:ascii="Arial" w:hAnsi="Arial" w:eastAsia="Arial" w:cs="Arial"/>
                <w:sz w:val="20"/>
                <w:szCs w:val="20"/>
              </w:rPr>
              <w:t>Raw-access or certificate language.</w:t>
            </w:r>
          </w:p>
        </w:tc>
      </w:tr>
      <w:tr>
        <w:trPr>
          <w:cantSplit/>
        </w:trPr>
        <w:tc>
          <w:tcPr>
            <w:tcW w:type="dxa" w:w="793"/>
            <w:vAlign w:val="top"/>
            <w:tcMar>
              <w:top w:w="45" w:type="dxa"/>
              <w:start w:w="55" w:type="dxa"/>
              <w:bottom w:w="45" w:type="dxa"/>
              <w:end w:w="55" w:type="dxa"/>
            </w:tcMar>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line="240" w:lineRule="auto"/>
            </w:pPr>
            <w:r>
              <w:rPr>
                <w:b w:val="0"/>
                <w:i w:val="0"/>
                <w:rFonts w:ascii="Arial" w:hAnsi="Arial" w:eastAsia="Arial" w:cs="Arial"/>
                <w:sz w:val="20"/>
                <w:szCs w:val="20"/>
              </w:rPr>
              <w:t>10</w:t>
            </w:r>
          </w:p>
        </w:tc>
        <w:tc>
          <w:tcPr>
            <w:tcW w:type="dxa" w:w="3967"/>
            <w:vAlign w:val="top"/>
            <w:tcMar>
              <w:top w:w="45" w:type="dxa"/>
              <w:start w:w="55" w:type="dxa"/>
              <w:bottom w:w="45" w:type="dxa"/>
              <w:end w:w="55" w:type="dxa"/>
            </w:tcMar>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line="240" w:lineRule="auto"/>
            </w:pPr>
            <w:r>
              <w:rPr>
                <w:b w:val="0"/>
                <w:i w:val="0"/>
                <w:rFonts w:ascii="Arial" w:hAnsi="Arial" w:eastAsia="Arial" w:cs="Arial"/>
                <w:sz w:val="20"/>
                <w:szCs w:val="20"/>
              </w:rPr>
              <w:t>Map abstraction regime and perspective.</w:t>
            </w:r>
          </w:p>
        </w:tc>
        <w:tc>
          <w:tcPr>
            <w:tcW w:type="dxa" w:w="5289"/>
            <w:vAlign w:val="top"/>
            <w:tcMar>
              <w:top w:w="45" w:type="dxa"/>
              <w:start w:w="55" w:type="dxa"/>
              <w:bottom w:w="45" w:type="dxa"/>
              <w:end w:w="55" w:type="dxa"/>
            </w:tcMar>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line="240" w:lineRule="auto"/>
            </w:pPr>
            <w:r>
              <w:rPr>
                <w:b w:val="0"/>
                <w:i w:val="0"/>
                <w:rFonts w:ascii="Arial" w:hAnsi="Arial" w:eastAsia="Arial" w:cs="Arial"/>
                <w:sz w:val="20"/>
                <w:szCs w:val="20"/>
              </w:rPr>
              <w:t>Locus-level observation architecture and event-horizon profile.</w:t>
            </w:r>
          </w:p>
        </w:tc>
        <w:tc>
          <w:tcPr>
            <w:tcW w:type="dxa" w:w="4495"/>
            <w:vAlign w:val="top"/>
            <w:tcMar>
              <w:top w:w="45" w:type="dxa"/>
              <w:start w:w="55" w:type="dxa"/>
              <w:bottom w:w="45" w:type="dxa"/>
              <w:end w:w="55" w:type="dxa"/>
            </w:tcMar>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line="240" w:lineRule="auto"/>
            </w:pPr>
            <w:r>
              <w:rPr>
                <w:b w:val="0"/>
                <w:i w:val="0"/>
                <w:rFonts w:ascii="Arial" w:hAnsi="Arial" w:eastAsia="Arial" w:cs="Arial"/>
                <w:sz w:val="20"/>
                <w:szCs w:val="20"/>
              </w:rPr>
              <w:t>Perspective reduced to opinion or bias.</w:t>
            </w:r>
          </w:p>
        </w:tc>
      </w:tr>
      <w:tr>
        <w:trPr>
          <w:cantSplit/>
        </w:trPr>
        <w:tc>
          <w:tcPr>
            <w:tcW w:type="dxa" w:w="793"/>
            <w:vAlign w:val="top"/>
            <w:tcMar>
              <w:top w:w="45" w:type="dxa"/>
              <w:start w:w="55" w:type="dxa"/>
              <w:bottom w:w="45" w:type="dxa"/>
              <w:end w:w="55" w:type="dxa"/>
            </w:tcMar>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line="240" w:lineRule="auto"/>
            </w:pPr>
            <w:r>
              <w:rPr>
                <w:b w:val="0"/>
                <w:i w:val="0"/>
                <w:rFonts w:ascii="Arial" w:hAnsi="Arial" w:eastAsia="Arial" w:cs="Arial"/>
                <w:sz w:val="20"/>
                <w:szCs w:val="20"/>
              </w:rPr>
              <w:t>11</w:t>
            </w:r>
          </w:p>
        </w:tc>
        <w:tc>
          <w:tcPr>
            <w:tcW w:type="dxa" w:w="3967"/>
            <w:vAlign w:val="top"/>
            <w:tcMar>
              <w:top w:w="45" w:type="dxa"/>
              <w:start w:w="55" w:type="dxa"/>
              <w:bottom w:w="45" w:type="dxa"/>
              <w:end w:w="55" w:type="dxa"/>
            </w:tcMar>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line="240" w:lineRule="auto"/>
            </w:pPr>
            <w:r>
              <w:rPr>
                <w:b w:val="0"/>
                <w:i w:val="0"/>
                <w:rFonts w:ascii="Arial" w:hAnsi="Arial" w:eastAsia="Arial" w:cs="Arial"/>
                <w:sz w:val="20"/>
                <w:szCs w:val="20"/>
              </w:rPr>
              <w:t>State Abstraction Gap and relational uncertainty.</w:t>
            </w:r>
          </w:p>
        </w:tc>
        <w:tc>
          <w:tcPr>
            <w:tcW w:type="dxa" w:w="5289"/>
            <w:vAlign w:val="top"/>
            <w:tcMar>
              <w:top w:w="45" w:type="dxa"/>
              <w:start w:w="55" w:type="dxa"/>
              <w:bottom w:w="45" w:type="dxa"/>
              <w:end w:w="55" w:type="dxa"/>
            </w:tcMar>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line="240" w:lineRule="auto"/>
            </w:pPr>
            <w:r>
              <w:rPr>
                <w:b w:val="0"/>
                <w:i w:val="0"/>
                <w:rFonts w:ascii="Arial" w:hAnsi="Arial" w:eastAsia="Arial" w:cs="Arial"/>
                <w:sz w:val="20"/>
                <w:szCs w:val="20"/>
              </w:rPr>
              <w:t>Localised discrepancy and preservation question.</w:t>
            </w:r>
          </w:p>
        </w:tc>
        <w:tc>
          <w:tcPr>
            <w:tcW w:type="dxa" w:w="4495"/>
            <w:vAlign w:val="top"/>
            <w:tcMar>
              <w:top w:w="45" w:type="dxa"/>
              <w:start w:w="55" w:type="dxa"/>
              <w:bottom w:w="45" w:type="dxa"/>
              <w:end w:w="55" w:type="dxa"/>
            </w:tcMar>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line="240" w:lineRule="auto"/>
            </w:pPr>
            <w:r>
              <w:rPr>
                <w:b w:val="0"/>
                <w:i w:val="0"/>
                <w:rFonts w:ascii="Arial" w:hAnsi="Arial" w:eastAsia="Arial" w:cs="Arial"/>
                <w:sz w:val="20"/>
                <w:szCs w:val="20"/>
              </w:rPr>
              <w:t>Gap treated as automatic error or ignored.</w:t>
            </w:r>
          </w:p>
        </w:tc>
      </w:tr>
      <w:tr>
        <w:trPr>
          <w:cantSplit/>
        </w:trPr>
        <w:tc>
          <w:tcPr>
            <w:tcW w:type="dxa" w:w="793"/>
            <w:vAlign w:val="top"/>
            <w:tcMar>
              <w:top w:w="45" w:type="dxa"/>
              <w:start w:w="55" w:type="dxa"/>
              <w:bottom w:w="45" w:type="dxa"/>
              <w:end w:w="55" w:type="dxa"/>
            </w:tcMar>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line="240" w:lineRule="auto"/>
            </w:pPr>
            <w:r>
              <w:rPr>
                <w:b w:val="0"/>
                <w:i w:val="0"/>
                <w:rFonts w:ascii="Arial" w:hAnsi="Arial" w:eastAsia="Arial" w:cs="Arial"/>
                <w:sz w:val="20"/>
                <w:szCs w:val="20"/>
              </w:rPr>
              <w:t>12</w:t>
            </w:r>
          </w:p>
        </w:tc>
        <w:tc>
          <w:tcPr>
            <w:tcW w:type="dxa" w:w="3967"/>
            <w:vAlign w:val="top"/>
            <w:tcMar>
              <w:top w:w="45" w:type="dxa"/>
              <w:start w:w="55" w:type="dxa"/>
              <w:bottom w:w="45" w:type="dxa"/>
              <w:end w:w="55" w:type="dxa"/>
            </w:tcMar>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line="240" w:lineRule="auto"/>
            </w:pPr>
            <w:r>
              <w:rPr>
                <w:b w:val="0"/>
                <w:i w:val="0"/>
                <w:rFonts w:ascii="Arial" w:hAnsi="Arial" w:eastAsia="Arial" w:cs="Arial"/>
                <w:sz w:val="20"/>
                <w:szCs w:val="20"/>
              </w:rPr>
              <w:t>Apply correction architecture.</w:t>
            </w:r>
          </w:p>
        </w:tc>
        <w:tc>
          <w:tcPr>
            <w:tcW w:type="dxa" w:w="5289"/>
            <w:vAlign w:val="top"/>
            <w:tcMar>
              <w:top w:w="45" w:type="dxa"/>
              <w:start w:w="55" w:type="dxa"/>
              <w:bottom w:w="45" w:type="dxa"/>
              <w:end w:w="55" w:type="dxa"/>
            </w:tcMar>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line="240" w:lineRule="auto"/>
            </w:pPr>
            <w:r>
              <w:rPr>
                <w:b w:val="0"/>
                <w:i w:val="0"/>
                <w:rFonts w:ascii="Arial" w:hAnsi="Arial" w:eastAsia="Arial" w:cs="Arial"/>
                <w:sz w:val="20"/>
                <w:szCs w:val="20"/>
              </w:rPr>
              <w:t>Comparator pressure, cross-locus correction, revision, and residual.</w:t>
            </w:r>
          </w:p>
        </w:tc>
        <w:tc>
          <w:tcPr>
            <w:tcW w:type="dxa" w:w="4495"/>
            <w:vAlign w:val="top"/>
            <w:tcMar>
              <w:top w:w="45" w:type="dxa"/>
              <w:start w:w="55" w:type="dxa"/>
              <w:bottom w:w="45" w:type="dxa"/>
              <w:end w:w="55" w:type="dxa"/>
            </w:tcMar>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line="240" w:lineRule="auto"/>
            </w:pPr>
            <w:r>
              <w:rPr>
                <w:b w:val="0"/>
                <w:i w:val="0"/>
                <w:rFonts w:ascii="Arial" w:hAnsi="Arial" w:eastAsia="Arial" w:cs="Arial"/>
                <w:sz w:val="20"/>
                <w:szCs w:val="20"/>
              </w:rPr>
              <w:t>Objectivity reduced to consensus or certainty.</w:t>
            </w:r>
          </w:p>
        </w:tc>
      </w:tr>
      <w:tr>
        <w:trPr>
          <w:cantSplit/>
        </w:trPr>
        <w:tc>
          <w:tcPr>
            <w:tcW w:type="dxa" w:w="793"/>
            <w:vAlign w:val="top"/>
            <w:tcMar>
              <w:top w:w="45" w:type="dxa"/>
              <w:start w:w="55" w:type="dxa"/>
              <w:bottom w:w="45" w:type="dxa"/>
              <w:end w:w="55" w:type="dxa"/>
            </w:tcMar>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line="240" w:lineRule="auto"/>
            </w:pPr>
            <w:r>
              <w:rPr>
                <w:b w:val="0"/>
                <w:i w:val="0"/>
                <w:rFonts w:ascii="Arial" w:hAnsi="Arial" w:eastAsia="Arial" w:cs="Arial"/>
                <w:sz w:val="20"/>
                <w:szCs w:val="20"/>
              </w:rPr>
              <w:t>13</w:t>
            </w:r>
          </w:p>
        </w:tc>
        <w:tc>
          <w:tcPr>
            <w:tcW w:type="dxa" w:w="3967"/>
            <w:vAlign w:val="top"/>
            <w:tcMar>
              <w:top w:w="45" w:type="dxa"/>
              <w:start w:w="55" w:type="dxa"/>
              <w:bottom w:w="45" w:type="dxa"/>
              <w:end w:w="55" w:type="dxa"/>
            </w:tcMar>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line="240" w:lineRule="auto"/>
            </w:pPr>
            <w:r>
              <w:rPr>
                <w:b w:val="0"/>
                <w:i w:val="0"/>
                <w:rFonts w:ascii="Arial" w:hAnsi="Arial" w:eastAsia="Arial" w:cs="Arial"/>
                <w:sz w:val="20"/>
                <w:szCs w:val="20"/>
              </w:rPr>
              <w:t>Specify magnitude, reference scale, and operative scale.</w:t>
            </w:r>
          </w:p>
        </w:tc>
        <w:tc>
          <w:tcPr>
            <w:tcW w:type="dxa" w:w="5289"/>
            <w:vAlign w:val="top"/>
            <w:tcMar>
              <w:top w:w="45" w:type="dxa"/>
              <w:start w:w="55" w:type="dxa"/>
              <w:bottom w:w="45" w:type="dxa"/>
              <w:end w:w="55" w:type="dxa"/>
            </w:tcMar>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line="240" w:lineRule="auto"/>
            </w:pPr>
            <w:r>
              <w:rPr>
                <w:b w:val="0"/>
                <w:i w:val="0"/>
                <w:rFonts w:ascii="Arial" w:hAnsi="Arial" w:eastAsia="Arial" w:cs="Arial"/>
                <w:sz w:val="20"/>
                <w:szCs w:val="20"/>
              </w:rPr>
              <w:t>Scalar commitment and actual comparability regime.</w:t>
            </w:r>
          </w:p>
        </w:tc>
        <w:tc>
          <w:tcPr>
            <w:tcW w:type="dxa" w:w="4495"/>
            <w:vAlign w:val="top"/>
            <w:tcMar>
              <w:top w:w="45" w:type="dxa"/>
              <w:start w:w="55" w:type="dxa"/>
              <w:bottom w:w="45" w:type="dxa"/>
              <w:end w:w="55" w:type="dxa"/>
            </w:tcMar>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line="240" w:lineRule="auto"/>
            </w:pPr>
            <w:r>
              <w:rPr>
                <w:b w:val="0"/>
                <w:i w:val="0"/>
                <w:rFonts w:ascii="Arial" w:hAnsi="Arial" w:eastAsia="Arial" w:cs="Arial"/>
                <w:sz w:val="20"/>
                <w:szCs w:val="20"/>
              </w:rPr>
              <w:t>Scale-free or cross-level claim.</w:t>
            </w:r>
          </w:p>
        </w:tc>
      </w:tr>
      <w:tr>
        <w:trPr>
          <w:cantSplit/>
        </w:trPr>
        <w:tc>
          <w:tcPr>
            <w:tcW w:type="dxa" w:w="793"/>
            <w:vAlign w:val="top"/>
            <w:tcMar>
              <w:top w:w="45" w:type="dxa"/>
              <w:start w:w="55" w:type="dxa"/>
              <w:bottom w:w="45" w:type="dxa"/>
              <w:end w:w="55" w:type="dxa"/>
            </w:tcMar>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line="240" w:lineRule="auto"/>
            </w:pPr>
            <w:r>
              <w:rPr>
                <w:b w:val="0"/>
                <w:i w:val="0"/>
                <w:rFonts w:ascii="Arial" w:hAnsi="Arial" w:eastAsia="Arial" w:cs="Arial"/>
                <w:sz w:val="20"/>
                <w:szCs w:val="20"/>
              </w:rPr>
              <w:t>14</w:t>
            </w:r>
          </w:p>
        </w:tc>
        <w:tc>
          <w:tcPr>
            <w:tcW w:type="dxa" w:w="3967"/>
            <w:vAlign w:val="top"/>
            <w:tcMar>
              <w:top w:w="45" w:type="dxa"/>
              <w:start w:w="55" w:type="dxa"/>
              <w:bottom w:w="45" w:type="dxa"/>
              <w:end w:w="55" w:type="dxa"/>
            </w:tcMar>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line="240" w:lineRule="auto"/>
            </w:pPr>
            <w:r>
              <w:rPr>
                <w:b w:val="0"/>
                <w:i w:val="0"/>
                <w:rFonts w:ascii="Arial" w:hAnsi="Arial" w:eastAsia="Arial" w:cs="Arial"/>
                <w:sz w:val="20"/>
                <w:szCs w:val="20"/>
              </w:rPr>
              <w:t>Test scalar alignment and measurement path.</w:t>
            </w:r>
          </w:p>
        </w:tc>
        <w:tc>
          <w:tcPr>
            <w:tcW w:type="dxa" w:w="5289"/>
            <w:vAlign w:val="top"/>
            <w:tcMar>
              <w:top w:w="45" w:type="dxa"/>
              <w:start w:w="55" w:type="dxa"/>
              <w:bottom w:w="45" w:type="dxa"/>
              <w:end w:w="55" w:type="dxa"/>
            </w:tcMar>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line="240" w:lineRule="auto"/>
            </w:pPr>
            <w:r>
              <w:rPr>
                <w:b w:val="0"/>
                <w:i w:val="0"/>
                <w:rFonts w:ascii="Arial" w:hAnsi="Arial" w:eastAsia="Arial" w:cs="Arial"/>
                <w:sz w:val="20"/>
                <w:szCs w:val="20"/>
              </w:rPr>
              <w:t>Measurement as OP/OA/OR/RAS/RSD at aligned scale.</w:t>
            </w:r>
          </w:p>
        </w:tc>
        <w:tc>
          <w:tcPr>
            <w:tcW w:type="dxa" w:w="4495"/>
            <w:vAlign w:val="top"/>
            <w:tcMar>
              <w:top w:w="45" w:type="dxa"/>
              <w:start w:w="55" w:type="dxa"/>
              <w:bottom w:w="45" w:type="dxa"/>
              <w:end w:w="55" w:type="dxa"/>
            </w:tcMar>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line="240" w:lineRule="auto"/>
            </w:pPr>
            <w:r>
              <w:rPr>
                <w:b w:val="0"/>
                <w:i w:val="0"/>
                <w:rFonts w:ascii="Arial" w:hAnsi="Arial" w:eastAsia="Arial" w:cs="Arial"/>
                <w:sz w:val="20"/>
                <w:szCs w:val="20"/>
              </w:rPr>
              <w:t>Scale Gap or unsupported transfer.</w:t>
            </w:r>
          </w:p>
        </w:tc>
      </w:tr>
      <w:tr>
        <w:trPr>
          <w:cantSplit/>
        </w:trPr>
        <w:tc>
          <w:tcPr>
            <w:tcW w:type="dxa" w:w="793"/>
            <w:vAlign w:val="top"/>
            <w:tcMar>
              <w:top w:w="45" w:type="dxa"/>
              <w:start w:w="55" w:type="dxa"/>
              <w:bottom w:w="45" w:type="dxa"/>
              <w:end w:w="55" w:type="dxa"/>
            </w:tcMar>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line="240" w:lineRule="auto"/>
            </w:pPr>
            <w:r>
              <w:rPr>
                <w:b w:val="0"/>
                <w:i w:val="0"/>
                <w:rFonts w:ascii="Arial" w:hAnsi="Arial" w:eastAsia="Arial" w:cs="Arial"/>
                <w:sz w:val="20"/>
                <w:szCs w:val="20"/>
              </w:rPr>
              <w:t>15</w:t>
            </w:r>
          </w:p>
        </w:tc>
        <w:tc>
          <w:tcPr>
            <w:tcW w:type="dxa" w:w="3967"/>
            <w:vAlign w:val="top"/>
            <w:tcMar>
              <w:top w:w="45" w:type="dxa"/>
              <w:start w:w="55" w:type="dxa"/>
              <w:bottom w:w="45" w:type="dxa"/>
              <w:end w:w="55" w:type="dxa"/>
            </w:tcMar>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line="240" w:lineRule="auto"/>
            </w:pPr>
            <w:r>
              <w:rPr>
                <w:b w:val="0"/>
                <w:i w:val="0"/>
                <w:rFonts w:ascii="Arial" w:hAnsi="Arial" w:eastAsia="Arial" w:cs="Arial"/>
                <w:sz w:val="20"/>
                <w:szCs w:val="20"/>
              </w:rPr>
              <w:t>Establish observation-program status.</w:t>
            </w:r>
          </w:p>
        </w:tc>
        <w:tc>
          <w:tcPr>
            <w:tcW w:type="dxa" w:w="5289"/>
            <w:vAlign w:val="top"/>
            <w:tcMar>
              <w:top w:w="45" w:type="dxa"/>
              <w:start w:w="55" w:type="dxa"/>
              <w:bottom w:w="45" w:type="dxa"/>
              <w:end w:w="55" w:type="dxa"/>
            </w:tcMar>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line="240" w:lineRule="auto"/>
            </w:pPr>
            <w:r>
              <w:rPr>
                <w:b w:val="0"/>
                <w:i w:val="0"/>
                <w:rFonts w:ascii="Arial" w:hAnsi="Arial" w:eastAsia="Arial" w:cs="Arial"/>
                <w:sz w:val="20"/>
                <w:szCs w:val="20"/>
              </w:rPr>
              <w:t>Threshold-valid program or localised threshold failure.</w:t>
            </w:r>
          </w:p>
        </w:tc>
        <w:tc>
          <w:tcPr>
            <w:tcW w:type="dxa" w:w="4495"/>
            <w:vAlign w:val="top"/>
            <w:tcMar>
              <w:top w:w="45" w:type="dxa"/>
              <w:start w:w="55" w:type="dxa"/>
              <w:bottom w:w="45" w:type="dxa"/>
              <w:end w:w="55" w:type="dxa"/>
            </w:tcMar>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line="240" w:lineRule="auto"/>
            </w:pPr>
            <w:r>
              <w:rPr>
                <w:b w:val="0"/>
                <w:i w:val="0"/>
                <w:rFonts w:ascii="Arial" w:hAnsi="Arial" w:eastAsia="Arial" w:cs="Arial"/>
                <w:sz w:val="20"/>
                <w:szCs w:val="20"/>
              </w:rPr>
              <w:t>Performance terms used to bypass status.</w:t>
            </w:r>
          </w:p>
        </w:tc>
      </w:tr>
      <w:tr>
        <w:trPr>
          <w:cantSplit/>
        </w:trPr>
        <w:tc>
          <w:tcPr>
            <w:tcW w:type="dxa" w:w="793"/>
            <w:vAlign w:val="top"/>
            <w:tcMar>
              <w:top w:w="45" w:type="dxa"/>
              <w:start w:w="55" w:type="dxa"/>
              <w:bottom w:w="45" w:type="dxa"/>
              <w:end w:w="55" w:type="dxa"/>
            </w:tcMar>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line="240" w:lineRule="auto"/>
            </w:pPr>
            <w:r>
              <w:rPr>
                <w:b w:val="0"/>
                <w:i w:val="0"/>
                <w:rFonts w:ascii="Arial" w:hAnsi="Arial" w:eastAsia="Arial" w:cs="Arial"/>
                <w:sz w:val="20"/>
                <w:szCs w:val="20"/>
              </w:rPr>
              <w:t>16</w:t>
            </w:r>
          </w:p>
        </w:tc>
        <w:tc>
          <w:tcPr>
            <w:tcW w:type="dxa" w:w="3967"/>
            <w:vAlign w:val="top"/>
            <w:tcMar>
              <w:top w:w="45" w:type="dxa"/>
              <w:start w:w="55" w:type="dxa"/>
              <w:bottom w:w="45" w:type="dxa"/>
              <w:end w:w="55" w:type="dxa"/>
            </w:tcMar>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line="240" w:lineRule="auto"/>
            </w:pPr>
            <w:r>
              <w:rPr>
                <w:b w:val="0"/>
                <w:i w:val="0"/>
                <w:rFonts w:ascii="Arial" w:hAnsi="Arial" w:eastAsia="Arial" w:cs="Arial"/>
                <w:sz w:val="20"/>
                <w:szCs w:val="20"/>
              </w:rPr>
              <w:t>Grade operational envelope.</w:t>
            </w:r>
          </w:p>
        </w:tc>
        <w:tc>
          <w:tcPr>
            <w:tcW w:type="dxa" w:w="5289"/>
            <w:vAlign w:val="top"/>
            <w:tcMar>
              <w:top w:w="45" w:type="dxa"/>
              <w:start w:w="55" w:type="dxa"/>
              <w:bottom w:w="45" w:type="dxa"/>
              <w:end w:w="55" w:type="dxa"/>
            </w:tcMar>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line="240" w:lineRule="auto"/>
            </w:pPr>
            <w:r>
              <w:rPr>
                <w:b w:val="0"/>
                <w:i w:val="0"/>
                <w:rFonts w:ascii="Arial" w:hAnsi="Arial" w:eastAsia="Arial" w:cs="Arial"/>
                <w:sz w:val="20"/>
                <w:szCs w:val="20"/>
              </w:rPr>
              <w:t>OH, CH, RF, OBW, OD, OG, ODr, OL, OCx.</w:t>
            </w:r>
          </w:p>
        </w:tc>
        <w:tc>
          <w:tcPr>
            <w:tcW w:type="dxa" w:w="4495"/>
            <w:vAlign w:val="top"/>
            <w:tcMar>
              <w:top w:w="45" w:type="dxa"/>
              <w:start w:w="55" w:type="dxa"/>
              <w:bottom w:w="45" w:type="dxa"/>
              <w:end w:w="55" w:type="dxa"/>
            </w:tcMar>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line="240" w:lineRule="auto"/>
            </w:pPr>
            <w:r>
              <w:rPr>
                <w:b w:val="0"/>
                <w:i w:val="0"/>
                <w:rFonts w:ascii="Arial" w:hAnsi="Arial" w:eastAsia="Arial" w:cs="Arial"/>
                <w:sz w:val="20"/>
                <w:szCs w:val="20"/>
              </w:rPr>
              <w:t>Decorative or inflated descriptor claims.</w:t>
            </w:r>
          </w:p>
        </w:tc>
      </w:tr>
      <w:tr>
        <w:trPr>
          <w:cantSplit/>
        </w:trPr>
        <w:tc>
          <w:tcPr>
            <w:tcW w:type="dxa" w:w="793"/>
            <w:vAlign w:val="top"/>
            <w:tcMar>
              <w:top w:w="45" w:type="dxa"/>
              <w:start w:w="55" w:type="dxa"/>
              <w:bottom w:w="45" w:type="dxa"/>
              <w:end w:w="55" w:type="dxa"/>
            </w:tcMar>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line="240" w:lineRule="auto"/>
            </w:pPr>
            <w:r>
              <w:rPr>
                <w:b w:val="0"/>
                <w:i w:val="0"/>
                <w:rFonts w:ascii="Arial" w:hAnsi="Arial" w:eastAsia="Arial" w:cs="Arial"/>
                <w:sz w:val="20"/>
                <w:szCs w:val="20"/>
              </w:rPr>
              <w:t>17</w:t>
            </w:r>
          </w:p>
        </w:tc>
        <w:tc>
          <w:tcPr>
            <w:tcW w:type="dxa" w:w="3967"/>
            <w:vAlign w:val="top"/>
            <w:tcMar>
              <w:top w:w="45" w:type="dxa"/>
              <w:start w:w="55" w:type="dxa"/>
              <w:bottom w:w="45" w:type="dxa"/>
              <w:end w:w="55" w:type="dxa"/>
            </w:tcMar>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line="240" w:lineRule="auto"/>
            </w:pPr>
            <w:r>
              <w:rPr>
                <w:b w:val="0"/>
                <w:i w:val="0"/>
                <w:rFonts w:ascii="Arial" w:hAnsi="Arial" w:eastAsia="Arial" w:cs="Arial"/>
                <w:sz w:val="20"/>
                <w:szCs w:val="20"/>
              </w:rPr>
              <w:t>Carry bounds and unresolved conditions forward.</w:t>
            </w:r>
          </w:p>
        </w:tc>
        <w:tc>
          <w:tcPr>
            <w:tcW w:type="dxa" w:w="5289"/>
            <w:vAlign w:val="top"/>
            <w:tcMar>
              <w:top w:w="45" w:type="dxa"/>
              <w:start w:w="55" w:type="dxa"/>
              <w:bottom w:w="45" w:type="dxa"/>
              <w:end w:w="55" w:type="dxa"/>
            </w:tcMar>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line="240" w:lineRule="auto"/>
            </w:pPr>
            <w:r>
              <w:rPr>
                <w:b w:val="0"/>
                <w:i w:val="0"/>
                <w:rFonts w:ascii="Arial" w:hAnsi="Arial" w:eastAsia="Arial" w:cs="Arial"/>
                <w:sz w:val="20"/>
                <w:szCs w:val="20"/>
              </w:rPr>
              <w:t>Explicit residual and update condition.</w:t>
            </w:r>
          </w:p>
        </w:tc>
        <w:tc>
          <w:tcPr>
            <w:tcW w:type="dxa" w:w="4495"/>
            <w:vAlign w:val="top"/>
            <w:tcMar>
              <w:top w:w="45" w:type="dxa"/>
              <w:start w:w="55" w:type="dxa"/>
              <w:bottom w:w="45" w:type="dxa"/>
              <w:end w:w="55" w:type="dxa"/>
            </w:tcMar>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line="240" w:lineRule="auto"/>
            </w:pPr>
            <w:r>
              <w:rPr>
                <w:b w:val="0"/>
                <w:i w:val="0"/>
                <w:rFonts w:ascii="Arial" w:hAnsi="Arial" w:eastAsia="Arial" w:cs="Arial"/>
                <w:sz w:val="20"/>
                <w:szCs w:val="20"/>
              </w:rPr>
              <w:t>Residual laundering or premature closure.</w:t>
            </w:r>
          </w:p>
        </w:tc>
      </w:tr>
    </w:tbl>
    <w:p>
      <w:pPr>
        <w:rPr>
          <w:rFonts w:ascii="Arial" w:hAnsi="Arial" w:eastAsia="Arial" w:cs="Arial"/>
          <w:sz w:val="22"/>
          <w:szCs w:val="22"/>
        </w:rPr>
        <w:widowControl/>
        <w:spacing w:before="0" w:after="0" w:line="240" w:lineRule="auto"/>
        <w:keepNext/>
      </w:pPr>
      <w:r>
        <w:rPr>
          <w:rFonts w:ascii="Arial" w:hAnsi="Arial" w:eastAsia="Arial" w:cs="Arial"/>
          <w:sz w:val="22"/>
        </w:rPr>
      </w:r>
    </w:p>
    <w:p>
      <w:pPr>
        <w:rPr>
          <w:rFonts w:ascii="Arial" w:hAnsi="Arial" w:eastAsia="Arial" w:cs="Arial"/>
          <w:sz w:val="30"/>
          <w:szCs w:val="30"/>
          <w:b w:val="1"/>
          <w:color w:val="1F4E79"/>
        </w:rPr>
        <w:widowControl/>
        <w:spacing w:before="60" w:after="40" w:line="240" w:lineRule="auto"/>
        <w:pStyle w:val="Heading1"/>
        <w:keepNext/>
        <w:keepLines/>
      </w:pPr>
      <w:r>
        <w:rPr>
          <w:i w:val="0"/>
          <w:rFonts w:ascii="Arial" w:hAnsi="Arial" w:eastAsia="Arial" w:cs="Arial"/>
          <w:sz w:val="30"/>
          <w:szCs w:val="30"/>
          <w:b w:val="1"/>
          <w:color w:val="1F4E79"/>
        </w:rPr>
        <w:t>7. Paper-by-paper compression</w:t>
      </w:r>
    </w:p>
    <w:tbl>
      <w:tblPr>
        <w:tblStyle w:val="TableGrid"/>
        <w:tblW w:type="dxa" w:w="14544"/>
        <w:jc w:val="center"/>
        <w:tblLayout w:type="fixed"/>
        <w:tblLook w:firstColumn="1" w:firstRow="1" w:lastColumn="0" w:lastRow="0" w:noHBand="0" w:noVBand="1" w:val="04A0"/>
        <w:tblBorders>
          <w:top w:val="single" w:sz="4" w:color="7F7F7F"/>
          <w:left w:val="single" w:sz="4" w:color="7F7F7F"/>
          <w:bottom w:val="single" w:sz="4" w:color="7F7F7F"/>
          <w:right w:val="single" w:sz="4" w:color="7F7F7F"/>
          <w:insideH w:val="single" w:sz="4" w:color="7F7F7F"/>
          <w:insideV w:val="single" w:sz="4" w:color="7F7F7F"/>
        </w:tblBorders>
      </w:tblPr>
      <w:tblGrid>
        <w:gridCol w:w="2909"/>
        <w:gridCol w:w="7669"/>
        <w:gridCol w:w="3966"/>
      </w:tblGrid>
      <w:tr>
        <w:trPr>
          <w:cantSplit/>
          <w:tblHeader w:val="1"/>
        </w:trPr>
        <w:tc>
          <w:tcPr>
            <w:tcW w:type="dxa" w:w="2909"/>
            <w:vAlign w:val="center"/>
            <w:shd w:fill="D9EAF7" w:val="clear"/>
            <w:tcMar>
              <w:top w:w="45" w:type="dxa"/>
              <w:start w:w="55" w:type="dxa"/>
              <w:bottom w:w="45" w:type="dxa"/>
              <w:end w:w="55" w:type="dxa"/>
            </w:tcMar>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pPr>
            <w:r>
              <w:rPr>
                <w:i w:val="0"/>
                <w:rFonts w:ascii="Arial" w:hAnsi="Arial" w:eastAsia="Arial" w:cs="Arial"/>
                <w:sz w:val="20"/>
                <w:szCs w:val="20"/>
                <w:b/>
              </w:rPr>
              <w:t>Canonical paper</w:t>
            </w:r>
          </w:p>
        </w:tc>
        <w:tc>
          <w:tcPr>
            <w:tcW w:type="dxa" w:w="7669"/>
            <w:vAlign w:val="center"/>
            <w:shd w:fill="D9EAF7" w:val="clear"/>
            <w:tcMar>
              <w:top w:w="45" w:type="dxa"/>
              <w:start w:w="55" w:type="dxa"/>
              <w:bottom w:w="45" w:type="dxa"/>
              <w:end w:w="55" w:type="dxa"/>
            </w:tcMar>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pPr>
            <w:r>
              <w:rPr>
                <w:i w:val="0"/>
                <w:rFonts w:ascii="Arial" w:hAnsi="Arial" w:eastAsia="Arial" w:cs="Arial"/>
                <w:sz w:val="20"/>
                <w:szCs w:val="20"/>
                <w:b/>
              </w:rPr>
              <w:t>Compression</w:t>
            </w:r>
          </w:p>
        </w:tc>
        <w:tc>
          <w:tcPr>
            <w:tcW w:type="dxa" w:w="3966"/>
            <w:vAlign w:val="center"/>
            <w:shd w:fill="D9EAF7" w:val="clear"/>
            <w:tcMar>
              <w:top w:w="45" w:type="dxa"/>
              <w:start w:w="55" w:type="dxa"/>
              <w:bottom w:w="45" w:type="dxa"/>
              <w:end w:w="55" w:type="dxa"/>
            </w:tcMar>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pPr>
            <w:r>
              <w:rPr>
                <w:i w:val="0"/>
                <w:rFonts w:ascii="Arial" w:hAnsi="Arial" w:eastAsia="Arial" w:cs="Arial"/>
                <w:sz w:val="20"/>
                <w:szCs w:val="20"/>
                <w:b/>
              </w:rPr>
              <w:t>Primary guardrail</w:t>
            </w:r>
          </w:p>
        </w:tc>
      </w:tr>
      <w:tr>
        <w:trPr>
          <w:cantSplit/>
        </w:trPr>
        <w:tc>
          <w:tcPr>
            <w:tcW w:type="dxa" w:w="2909"/>
            <w:vAlign w:val="top"/>
            <w:tcMar>
              <w:top w:w="45" w:type="dxa"/>
              <w:start w:w="55" w:type="dxa"/>
              <w:bottom w:w="45" w:type="dxa"/>
              <w:end w:w="55" w:type="dxa"/>
            </w:tcMar>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line="240" w:lineRule="auto"/>
            </w:pPr>
            <w:r>
              <w:rPr>
                <w:b w:val="0"/>
                <w:i w:val="0"/>
                <w:rFonts w:ascii="Arial" w:hAnsi="Arial" w:eastAsia="Arial" w:cs="Arial"/>
                <w:sz w:val="20"/>
                <w:szCs w:val="20"/>
              </w:rPr>
              <w:t>Paper 2 - Knowledge</w:t>
            </w:r>
          </w:p>
        </w:tc>
        <w:tc>
          <w:tcPr>
            <w:tcW w:type="dxa" w:w="7669"/>
            <w:vAlign w:val="top"/>
            <w:tcMar>
              <w:top w:w="45" w:type="dxa"/>
              <w:start w:w="55" w:type="dxa"/>
              <w:bottom w:w="45" w:type="dxa"/>
              <w:end w:w="55" w:type="dxa"/>
            </w:tcMar>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line="240" w:lineRule="auto"/>
            </w:pPr>
            <w:r>
              <w:rPr>
                <w:b w:val="0"/>
                <w:i w:val="0"/>
                <w:rFonts w:ascii="Arial" w:hAnsi="Arial" w:eastAsia="Arial" w:cs="Arial"/>
                <w:sz w:val="20"/>
                <w:szCs w:val="20"/>
              </w:rPr>
              <w:t>Knowledge is retained distinction. RAS is the canonical minimal carrier. TK is record-presence; KIP grounded deployability; NTK realised deployment.</w:t>
            </w:r>
          </w:p>
        </w:tc>
        <w:tc>
          <w:tcPr>
            <w:tcW w:type="dxa" w:w="3966"/>
            <w:vAlign w:val="top"/>
            <w:tcMar>
              <w:top w:w="45" w:type="dxa"/>
              <w:start w:w="55" w:type="dxa"/>
              <w:bottom w:w="45" w:type="dxa"/>
              <w:end w:w="55" w:type="dxa"/>
            </w:tcMar>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line="240" w:lineRule="auto"/>
            </w:pPr>
            <w:r>
              <w:rPr>
                <w:b w:val="0"/>
                <w:i w:val="0"/>
                <w:rFonts w:ascii="Arial" w:hAnsi="Arial" w:eastAsia="Arial" w:cs="Arial"/>
                <w:sz w:val="20"/>
                <w:szCs w:val="20"/>
              </w:rPr>
              <w:t>Do not collapse record-presence into belief, truth, semantics, warrant, or realised use.</w:t>
            </w:r>
          </w:p>
        </w:tc>
      </w:tr>
      <w:tr>
        <w:trPr>
          <w:cantSplit/>
        </w:trPr>
        <w:tc>
          <w:tcPr>
            <w:tcW w:type="dxa" w:w="2909"/>
            <w:vAlign w:val="top"/>
            <w:tcMar>
              <w:top w:w="45" w:type="dxa"/>
              <w:start w:w="55" w:type="dxa"/>
              <w:bottom w:w="45" w:type="dxa"/>
              <w:end w:w="55" w:type="dxa"/>
            </w:tcMar>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line="240" w:lineRule="auto"/>
            </w:pPr>
            <w:r>
              <w:rPr>
                <w:b w:val="0"/>
                <w:i w:val="0"/>
                <w:rFonts w:ascii="Arial" w:hAnsi="Arial" w:eastAsia="Arial" w:cs="Arial"/>
                <w:sz w:val="20"/>
                <w:szCs w:val="20"/>
              </w:rPr>
              <w:t>Paper 3 - Intelligence</w:t>
            </w:r>
          </w:p>
        </w:tc>
        <w:tc>
          <w:tcPr>
            <w:tcW w:type="dxa" w:w="7669"/>
            <w:vAlign w:val="top"/>
            <w:tcMar>
              <w:top w:w="45" w:type="dxa"/>
              <w:start w:w="55" w:type="dxa"/>
              <w:bottom w:w="45" w:type="dxa"/>
              <w:end w:w="55" w:type="dxa"/>
            </w:tcMar>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line="240" w:lineRule="auto"/>
            </w:pPr>
            <w:r>
              <w:rPr>
                <w:b w:val="0"/>
                <w:i w:val="0"/>
                <w:rFonts w:ascii="Arial" w:hAnsi="Arial" w:eastAsia="Arial" w:cs="Arial"/>
                <w:sz w:val="20"/>
                <w:szCs w:val="20"/>
              </w:rPr>
              <w:t>Intelligence is applied distinction in finite branch-space. Provenance and present use are separate. Active information is made by a producing locus; passive intelligence is made distinction reused; active intelligence is current application.</w:t>
            </w:r>
          </w:p>
        </w:tc>
        <w:tc>
          <w:tcPr>
            <w:tcW w:type="dxa" w:w="3966"/>
            <w:vAlign w:val="top"/>
            <w:tcMar>
              <w:top w:w="45" w:type="dxa"/>
              <w:start w:w="55" w:type="dxa"/>
              <w:bottom w:w="45" w:type="dxa"/>
              <w:end w:w="55" w:type="dxa"/>
            </w:tcMar>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line="240" w:lineRule="auto"/>
            </w:pPr>
            <w:r>
              <w:rPr>
                <w:b w:val="0"/>
                <w:i w:val="0"/>
                <w:rFonts w:ascii="Arial" w:hAnsi="Arial" w:eastAsia="Arial" w:cs="Arial"/>
                <w:sz w:val="20"/>
                <w:szCs w:val="20"/>
              </w:rPr>
              <w:t>Do not define intelligence by cognition, usefulness, success, or the later encountering locus.</w:t>
            </w:r>
          </w:p>
        </w:tc>
      </w:tr>
      <w:tr>
        <w:trPr>
          <w:cantSplit/>
        </w:trPr>
        <w:tc>
          <w:tcPr>
            <w:tcW w:type="dxa" w:w="2909"/>
            <w:vAlign w:val="top"/>
            <w:tcMar>
              <w:top w:w="45" w:type="dxa"/>
              <w:start w:w="55" w:type="dxa"/>
              <w:bottom w:w="45" w:type="dxa"/>
              <w:end w:w="55" w:type="dxa"/>
            </w:tcMar>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line="240" w:lineRule="auto"/>
            </w:pPr>
            <w:r>
              <w:rPr>
                <w:b w:val="0"/>
                <w:i w:val="0"/>
                <w:rFonts w:ascii="Arial" w:hAnsi="Arial" w:eastAsia="Arial" w:cs="Arial"/>
                <w:sz w:val="20"/>
                <w:szCs w:val="20"/>
              </w:rPr>
              <w:t>Paper 4 - Observation</w:t>
            </w:r>
          </w:p>
        </w:tc>
        <w:tc>
          <w:tcPr>
            <w:tcW w:type="dxa" w:w="7669"/>
            <w:vAlign w:val="top"/>
            <w:tcMar>
              <w:top w:w="45" w:type="dxa"/>
              <w:start w:w="55" w:type="dxa"/>
              <w:bottom w:w="45" w:type="dxa"/>
              <w:end w:w="55" w:type="dxa"/>
            </w:tcMar>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line="240" w:lineRule="auto"/>
            </w:pPr>
            <w:r>
              <w:rPr>
                <w:b w:val="0"/>
                <w:i w:val="0"/>
                <w:rFonts w:ascii="Arial" w:hAnsi="Arial" w:eastAsia="Arial" w:cs="Arial"/>
                <w:sz w:val="20"/>
                <w:szCs w:val="20"/>
              </w:rPr>
              <w:t>Observation is bounded registration. OR is event; RAS is record; strong observation requires RSD. Pre-TO/TO/OIP/NTO separate record, capacity, and realised operation.</w:t>
            </w:r>
          </w:p>
        </w:tc>
        <w:tc>
          <w:tcPr>
            <w:tcW w:type="dxa" w:w="3966"/>
            <w:vAlign w:val="top"/>
            <w:tcMar>
              <w:top w:w="45" w:type="dxa"/>
              <w:start w:w="55" w:type="dxa"/>
              <w:bottom w:w="45" w:type="dxa"/>
              <w:end w:w="55" w:type="dxa"/>
            </w:tcMar>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line="240" w:lineRule="auto"/>
            </w:pPr>
            <w:r>
              <w:rPr>
                <w:b w:val="0"/>
                <w:i w:val="0"/>
                <w:rFonts w:ascii="Arial" w:hAnsi="Arial" w:eastAsia="Arial" w:cs="Arial"/>
                <w:sz w:val="20"/>
                <w:szCs w:val="20"/>
              </w:rPr>
              <w:t>Observation is not certificate, every interaction, every record, or automatic warrant.</w:t>
            </w:r>
          </w:p>
        </w:tc>
      </w:tr>
      <w:tr>
        <w:trPr>
          <w:cantSplit/>
        </w:trPr>
        <w:tc>
          <w:tcPr>
            <w:tcW w:type="dxa" w:w="2909"/>
            <w:vAlign w:val="top"/>
            <w:tcMar>
              <w:top w:w="45" w:type="dxa"/>
              <w:start w:w="55" w:type="dxa"/>
              <w:bottom w:w="45" w:type="dxa"/>
              <w:end w:w="55" w:type="dxa"/>
            </w:tcMar>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line="240" w:lineRule="auto"/>
            </w:pPr>
            <w:r>
              <w:rPr>
                <w:b w:val="0"/>
                <w:i w:val="0"/>
                <w:rFonts w:ascii="Arial" w:hAnsi="Arial" w:eastAsia="Arial" w:cs="Arial"/>
                <w:sz w:val="20"/>
                <w:szCs w:val="20"/>
              </w:rPr>
              <w:t>Paper 4a - Limits</w:t>
            </w:r>
          </w:p>
        </w:tc>
        <w:tc>
          <w:tcPr>
            <w:tcW w:type="dxa" w:w="7669"/>
            <w:vAlign w:val="top"/>
            <w:tcMar>
              <w:top w:w="45" w:type="dxa"/>
              <w:start w:w="55" w:type="dxa"/>
              <w:bottom w:w="45" w:type="dxa"/>
              <w:end w:w="55" w:type="dxa"/>
            </w:tcMar>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line="240" w:lineRule="auto"/>
            </w:pPr>
            <w:r>
              <w:rPr>
                <w:b w:val="0"/>
                <w:i w:val="0"/>
                <w:rFonts w:ascii="Arial" w:hAnsi="Arial" w:eastAsia="Arial" w:cs="Arial"/>
                <w:sz w:val="20"/>
                <w:szCs w:val="20"/>
              </w:rPr>
              <w:t>All observation is abstraction. Cut, abstraction regime, perspective, event-horizon profile, Abstraction Gap, relational uncertainty, and correction define the abstraction consequence.</w:t>
            </w:r>
          </w:p>
        </w:tc>
        <w:tc>
          <w:tcPr>
            <w:tcW w:type="dxa" w:w="3966"/>
            <w:vAlign w:val="top"/>
            <w:tcMar>
              <w:top w:w="45" w:type="dxa"/>
              <w:start w:w="55" w:type="dxa"/>
              <w:bottom w:w="45" w:type="dxa"/>
              <w:end w:w="55" w:type="dxa"/>
            </w:tcMar>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line="240" w:lineRule="auto"/>
            </w:pPr>
            <w:r>
              <w:rPr>
                <w:b w:val="0"/>
                <w:i w:val="0"/>
                <w:rFonts w:ascii="Arial" w:hAnsi="Arial" w:eastAsia="Arial" w:cs="Arial"/>
                <w:sz w:val="20"/>
                <w:szCs w:val="20"/>
              </w:rPr>
              <w:t>Do not treat abstraction as unreality, perspective as opinion, or gap as error by default.</w:t>
            </w:r>
          </w:p>
        </w:tc>
      </w:tr>
      <w:tr>
        <w:trPr>
          <w:cantSplit/>
        </w:trPr>
        <w:tc>
          <w:tcPr>
            <w:tcW w:type="dxa" w:w="2909"/>
            <w:vAlign w:val="top"/>
            <w:tcMar>
              <w:top w:w="45" w:type="dxa"/>
              <w:start w:w="55" w:type="dxa"/>
              <w:bottom w:w="45" w:type="dxa"/>
              <w:end w:w="55" w:type="dxa"/>
            </w:tcMar>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line="240" w:lineRule="auto"/>
            </w:pPr>
            <w:r>
              <w:rPr>
                <w:b w:val="0"/>
                <w:i w:val="0"/>
                <w:rFonts w:ascii="Arial" w:hAnsi="Arial" w:eastAsia="Arial" w:cs="Arial"/>
                <w:sz w:val="20"/>
                <w:szCs w:val="20"/>
              </w:rPr>
              <w:t>Paper 4b - Scale</w:t>
            </w:r>
          </w:p>
        </w:tc>
        <w:tc>
          <w:tcPr>
            <w:tcW w:type="dxa" w:w="7669"/>
            <w:vAlign w:val="top"/>
            <w:tcMar>
              <w:top w:w="45" w:type="dxa"/>
              <w:start w:w="55" w:type="dxa"/>
              <w:bottom w:w="45" w:type="dxa"/>
              <w:end w:w="55" w:type="dxa"/>
            </w:tcMar>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line="240" w:lineRule="auto"/>
            </w:pPr>
            <w:r>
              <w:rPr>
                <w:b w:val="0"/>
                <w:i w:val="0"/>
                <w:rFonts w:ascii="Arial" w:hAnsi="Arial" w:eastAsia="Arial" w:cs="Arial"/>
                <w:sz w:val="20"/>
                <w:szCs w:val="20"/>
              </w:rPr>
              <w:t>Perspective fixes scale; scale fixes comparability. Magnitude is reality-constrained; reference scale states the claim; operative scale is achieved by the locus. Measurement registers relation through scale.</w:t>
            </w:r>
          </w:p>
        </w:tc>
        <w:tc>
          <w:tcPr>
            <w:tcW w:type="dxa" w:w="3966"/>
            <w:vAlign w:val="top"/>
            <w:tcMar>
              <w:top w:w="45" w:type="dxa"/>
              <w:start w:w="55" w:type="dxa"/>
              <w:bottom w:w="45" w:type="dxa"/>
              <w:end w:w="55" w:type="dxa"/>
            </w:tcMar>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line="240" w:lineRule="auto"/>
            </w:pPr>
            <w:r>
              <w:rPr>
                <w:b w:val="0"/>
                <w:i w:val="0"/>
                <w:rFonts w:ascii="Arial" w:hAnsi="Arial" w:eastAsia="Arial" w:cs="Arial"/>
                <w:sz w:val="20"/>
                <w:szCs w:val="20"/>
              </w:rPr>
              <w:t>Do not collapse magnitude into scale, scale into unit or choice, or precision into scalar adequacy.</w:t>
            </w:r>
          </w:p>
        </w:tc>
      </w:tr>
      <w:tr>
        <w:trPr>
          <w:cantSplit/>
        </w:trPr>
        <w:tc>
          <w:tcPr>
            <w:tcW w:type="dxa" w:w="2909"/>
            <w:vAlign w:val="top"/>
            <w:tcMar>
              <w:top w:w="45" w:type="dxa"/>
              <w:start w:w="55" w:type="dxa"/>
              <w:bottom w:w="45" w:type="dxa"/>
              <w:end w:w="55" w:type="dxa"/>
            </w:tcMar>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line="240" w:lineRule="auto"/>
            </w:pPr>
            <w:r>
              <w:rPr>
                <w:b w:val="0"/>
                <w:i w:val="0"/>
                <w:rFonts w:ascii="Arial" w:hAnsi="Arial" w:eastAsia="Arial" w:cs="Arial"/>
                <w:sz w:val="20"/>
                <w:szCs w:val="20"/>
              </w:rPr>
              <w:t>Paper 4c - Envelope</w:t>
            </w:r>
          </w:p>
        </w:tc>
        <w:tc>
          <w:tcPr>
            <w:tcW w:type="dxa" w:w="7669"/>
            <w:vAlign w:val="top"/>
            <w:tcMar>
              <w:top w:w="45" w:type="dxa"/>
              <w:start w:w="55" w:type="dxa"/>
              <w:bottom w:w="45" w:type="dxa"/>
              <w:end w:w="55" w:type="dxa"/>
            </w:tcMar>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line="240" w:lineRule="auto"/>
            </w:pPr>
            <w:r>
              <w:rPr>
                <w:b w:val="0"/>
                <w:i w:val="0"/>
                <w:rFonts w:ascii="Arial" w:hAnsi="Arial" w:eastAsia="Arial" w:cs="Arial"/>
                <w:sz w:val="20"/>
                <w:szCs w:val="20"/>
              </w:rPr>
              <w:t>Observation programs have measurable reach, intervention range, fidelity, bandwidth, depth, gain, drift, load, and collapse. Threshold status precedes descriptor grading.</w:t>
            </w:r>
          </w:p>
        </w:tc>
        <w:tc>
          <w:tcPr>
            <w:tcW w:type="dxa" w:w="3966"/>
            <w:vAlign w:val="top"/>
            <w:tcMar>
              <w:top w:w="45" w:type="dxa"/>
              <w:start w:w="55" w:type="dxa"/>
              <w:bottom w:w="45" w:type="dxa"/>
              <w:end w:w="55" w:type="dxa"/>
            </w:tcMar>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line="240" w:lineRule="auto"/>
            </w:pPr>
            <w:r>
              <w:rPr>
                <w:b w:val="0"/>
                <w:i w:val="0"/>
                <w:rFonts w:ascii="Arial" w:hAnsi="Arial" w:eastAsia="Arial" w:cs="Arial"/>
                <w:sz w:val="20"/>
                <w:szCs w:val="20"/>
              </w:rPr>
              <w:t>Descriptors do not add primitives, establish warrant, or replace failure localisation.</w:t>
            </w:r>
          </w:p>
        </w:tc>
      </w:tr>
    </w:tbl>
    <w:p>
      <w:pPr>
        <w:rPr>
          <w:rFonts w:ascii="Arial" w:hAnsi="Arial" w:eastAsia="Arial" w:cs="Arial"/>
          <w:sz w:val="22"/>
          <w:szCs w:val="22"/>
        </w:rPr>
        <w:widowControl/>
        <w:spacing w:before="0" w:after="0" w:line="240" w:lineRule="auto"/>
        <w:keepNext/>
      </w:pPr>
      <w:r>
        <w:rPr>
          <w:rFonts w:ascii="Arial" w:hAnsi="Arial" w:eastAsia="Arial" w:cs="Arial"/>
          <w:sz w:val="22"/>
        </w:rPr>
      </w:r>
    </w:p>
    <w:p>
      <w:pPr>
        <w:rPr>
          <w:rFonts w:ascii="Arial" w:hAnsi="Arial" w:eastAsia="Arial" w:cs="Arial"/>
          <w:sz w:val="30"/>
          <w:szCs w:val="30"/>
          <w:b w:val="1"/>
          <w:color w:val="1F4E79"/>
        </w:rPr>
        <w:widowControl/>
        <w:spacing w:before="60" w:after="40" w:line="240" w:lineRule="auto"/>
        <w:pStyle w:val="Heading1"/>
        <w:keepNext/>
        <w:keepLines/>
      </w:pPr>
      <w:r>
        <w:rPr>
          <w:i w:val="0"/>
          <w:rFonts w:ascii="Arial" w:hAnsi="Arial" w:eastAsia="Arial" w:cs="Arial"/>
          <w:sz w:val="30"/>
          <w:szCs w:val="30"/>
          <w:b w:val="1"/>
          <w:color w:val="1F4E79"/>
        </w:rPr>
        <w:t>8. Operational use sequence</w:t>
      </w:r>
    </w:p>
    <w:tbl>
      <w:tblPr>
        <w:tblStyle w:val="TableGrid"/>
        <w:tblW w:type="dxa" w:w="14544"/>
        <w:jc w:val="center"/>
        <w:tblLayout w:type="fixed"/>
        <w:tblLook w:firstColumn="1" w:firstRow="1" w:lastColumn="0" w:lastRow="0" w:noHBand="0" w:noVBand="1" w:val="04A0"/>
        <w:tblBorders>
          <w:top w:val="single" w:sz="4" w:color="7F7F7F"/>
          <w:left w:val="single" w:sz="4" w:color="7F7F7F"/>
          <w:bottom w:val="single" w:sz="4" w:color="7F7F7F"/>
          <w:right w:val="single" w:sz="4" w:color="7F7F7F"/>
          <w:insideH w:val="single" w:sz="4" w:color="7F7F7F"/>
          <w:insideV w:val="single" w:sz="4" w:color="7F7F7F"/>
        </w:tblBorders>
      </w:tblPr>
      <w:tblGrid>
        <w:gridCol w:w="2669"/>
        <w:gridCol w:w="11875"/>
      </w:tblGrid>
      <w:tr>
        <w:trPr>
          <w:cantSplit/>
          <w:tblHeader w:val="1"/>
        </w:trPr>
        <w:tc>
          <w:tcPr>
            <w:tcW w:type="dxa" w:w="2669"/>
            <w:vAlign w:val="center"/>
            <w:shd w:fill="D9EAF7" w:val="clear"/>
            <w:tcMar>
              <w:top w:w="45" w:type="dxa"/>
              <w:start w:w="55" w:type="dxa"/>
              <w:bottom w:w="45" w:type="dxa"/>
              <w:end w:w="55" w:type="dxa"/>
            </w:tcMar>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pPr>
            <w:r>
              <w:rPr>
                <w:i w:val="0"/>
                <w:rFonts w:ascii="Arial" w:hAnsi="Arial" w:eastAsia="Arial" w:cs="Arial"/>
                <w:sz w:val="20"/>
                <w:szCs w:val="20"/>
                <w:b/>
              </w:rPr>
              <w:t>Stage</w:t>
            </w:r>
          </w:p>
        </w:tc>
        <w:tc>
          <w:tcPr>
            <w:tcW w:type="dxa" w:w="11875"/>
            <w:vAlign w:val="center"/>
            <w:shd w:fill="D9EAF7" w:val="clear"/>
            <w:tcMar>
              <w:top w:w="45" w:type="dxa"/>
              <w:start w:w="55" w:type="dxa"/>
              <w:bottom w:w="45" w:type="dxa"/>
              <w:end w:w="55" w:type="dxa"/>
            </w:tcMar>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pPr>
            <w:r>
              <w:rPr>
                <w:i w:val="0"/>
                <w:rFonts w:ascii="Arial" w:hAnsi="Arial" w:eastAsia="Arial" w:cs="Arial"/>
                <w:sz w:val="20"/>
                <w:szCs w:val="20"/>
                <w:b/>
              </w:rPr>
              <w:t>Required action</w:t>
            </w:r>
          </w:p>
        </w:tc>
      </w:tr>
      <w:tr>
        <w:trPr>
          <w:cantSplit/>
        </w:trPr>
        <w:tc>
          <w:tcPr>
            <w:tcW w:type="dxa" w:w="2669"/>
            <w:vAlign w:val="top"/>
            <w:tcMar>
              <w:top w:w="45" w:type="dxa"/>
              <w:start w:w="55" w:type="dxa"/>
              <w:bottom w:w="45" w:type="dxa"/>
              <w:end w:w="55" w:type="dxa"/>
            </w:tcMar>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line="240" w:lineRule="auto"/>
            </w:pPr>
            <w:r>
              <w:rPr>
                <w:b w:val="0"/>
                <w:i w:val="0"/>
                <w:rFonts w:ascii="Arial" w:hAnsi="Arial" w:eastAsia="Arial" w:cs="Arial"/>
                <w:sz w:val="20"/>
                <w:szCs w:val="20"/>
              </w:rPr>
              <w:t>0. Reference preflight</w:t>
            </w:r>
          </w:p>
        </w:tc>
        <w:tc>
          <w:tcPr>
            <w:tcW w:type="dxa" w:w="11875"/>
            <w:vAlign w:val="top"/>
            <w:tcMar>
              <w:top w:w="45" w:type="dxa"/>
              <w:start w:w="55" w:type="dxa"/>
              <w:bottom w:w="45" w:type="dxa"/>
              <w:end w:w="55" w:type="dxa"/>
            </w:tcMar>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line="240" w:lineRule="auto"/>
            </w:pPr>
            <w:r>
              <w:rPr>
                <w:b w:val="0"/>
                <w:i w:val="0"/>
                <w:rFonts w:ascii="Arial" w:hAnsi="Arial" w:eastAsia="Arial" w:cs="Arial"/>
                <w:sz w:val="20"/>
                <w:szCs w:val="20"/>
              </w:rPr>
              <w:t>Specify locus, boundary, interface, reference scale, operational horizon, discrimination/noise regime, abstraction, and comparator family.</w:t>
            </w:r>
          </w:p>
        </w:tc>
      </w:tr>
      <w:tr>
        <w:trPr>
          <w:cantSplit/>
        </w:trPr>
        <w:tc>
          <w:tcPr>
            <w:tcW w:type="dxa" w:w="2669"/>
            <w:vAlign w:val="top"/>
            <w:tcMar>
              <w:top w:w="45" w:type="dxa"/>
              <w:start w:w="55" w:type="dxa"/>
              <w:bottom w:w="45" w:type="dxa"/>
              <w:end w:w="55" w:type="dxa"/>
            </w:tcMar>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line="240" w:lineRule="auto"/>
            </w:pPr>
            <w:r>
              <w:rPr>
                <w:b w:val="0"/>
                <w:i w:val="0"/>
                <w:rFonts w:ascii="Arial" w:hAnsi="Arial" w:eastAsia="Arial" w:cs="Arial"/>
                <w:sz w:val="20"/>
                <w:szCs w:val="20"/>
              </w:rPr>
              <w:t>1. Facet identification</w:t>
            </w:r>
          </w:p>
        </w:tc>
        <w:tc>
          <w:tcPr>
            <w:tcW w:type="dxa" w:w="11875"/>
            <w:vAlign w:val="top"/>
            <w:tcMar>
              <w:top w:w="45" w:type="dxa"/>
              <w:start w:w="55" w:type="dxa"/>
              <w:bottom w:w="45" w:type="dxa"/>
              <w:end w:w="55" w:type="dxa"/>
            </w:tcMar>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line="240" w:lineRule="auto"/>
            </w:pPr>
            <w:r>
              <w:rPr>
                <w:b w:val="0"/>
                <w:i w:val="0"/>
                <w:rFonts w:ascii="Arial" w:hAnsi="Arial" w:eastAsia="Arial" w:cs="Arial"/>
                <w:sz w:val="20"/>
                <w:szCs w:val="20"/>
              </w:rPr>
              <w:t>State whether the focal claim concerns retention, application, bounded registration, abstraction/perspective, scale/measurement, or program performance.</w:t>
            </w:r>
          </w:p>
        </w:tc>
      </w:tr>
      <w:tr>
        <w:trPr>
          <w:cantSplit/>
        </w:trPr>
        <w:tc>
          <w:tcPr>
            <w:tcW w:type="dxa" w:w="2669"/>
            <w:vAlign w:val="top"/>
            <w:tcMar>
              <w:top w:w="45" w:type="dxa"/>
              <w:start w:w="55" w:type="dxa"/>
              <w:bottom w:w="45" w:type="dxa"/>
              <w:end w:w="55" w:type="dxa"/>
            </w:tcMar>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line="240" w:lineRule="auto"/>
            </w:pPr>
            <w:r>
              <w:rPr>
                <w:b w:val="0"/>
                <w:i w:val="0"/>
                <w:rFonts w:ascii="Arial" w:hAnsi="Arial" w:eastAsia="Arial" w:cs="Arial"/>
                <w:sz w:val="20"/>
                <w:szCs w:val="20"/>
              </w:rPr>
              <w:t>2. Access pathway</w:t>
            </w:r>
          </w:p>
        </w:tc>
        <w:tc>
          <w:tcPr>
            <w:tcW w:type="dxa" w:w="11875"/>
            <w:vAlign w:val="top"/>
            <w:tcMar>
              <w:top w:w="45" w:type="dxa"/>
              <w:start w:w="55" w:type="dxa"/>
              <w:bottom w:w="45" w:type="dxa"/>
              <w:end w:w="55" w:type="dxa"/>
            </w:tcMar>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line="240" w:lineRule="auto"/>
            </w:pPr>
            <w:r>
              <w:rPr>
                <w:b w:val="0"/>
                <w:i w:val="0"/>
                <w:rFonts w:ascii="Arial" w:hAnsi="Arial" w:eastAsia="Arial" w:cs="Arial"/>
                <w:sz w:val="20"/>
                <w:szCs w:val="20"/>
              </w:rPr>
              <w:t>Test signal-bearing contrast, OP availability, and OA classing for the evaluated locus.</w:t>
            </w:r>
          </w:p>
        </w:tc>
      </w:tr>
      <w:tr>
        <w:trPr>
          <w:cantSplit/>
        </w:trPr>
        <w:tc>
          <w:tcPr>
            <w:tcW w:type="dxa" w:w="2669"/>
            <w:vAlign w:val="top"/>
            <w:tcMar>
              <w:top w:w="45" w:type="dxa"/>
              <w:start w:w="55" w:type="dxa"/>
              <w:bottom w:w="45" w:type="dxa"/>
              <w:end w:w="55" w:type="dxa"/>
            </w:tcMar>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line="240" w:lineRule="auto"/>
            </w:pPr>
            <w:r>
              <w:rPr>
                <w:b w:val="0"/>
                <w:i w:val="0"/>
                <w:rFonts w:ascii="Arial" w:hAnsi="Arial" w:eastAsia="Arial" w:cs="Arial"/>
                <w:sz w:val="20"/>
                <w:szCs w:val="20"/>
              </w:rPr>
              <w:t>3. Registration and retention</w:t>
            </w:r>
          </w:p>
        </w:tc>
        <w:tc>
          <w:tcPr>
            <w:tcW w:type="dxa" w:w="11875"/>
            <w:vAlign w:val="top"/>
            <w:tcMar>
              <w:top w:w="45" w:type="dxa"/>
              <w:start w:w="55" w:type="dxa"/>
              <w:bottom w:w="45" w:type="dxa"/>
              <w:end w:w="55" w:type="dxa"/>
            </w:tcMar>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line="240" w:lineRule="auto"/>
            </w:pPr>
            <w:r>
              <w:rPr>
                <w:b w:val="0"/>
                <w:i w:val="0"/>
                <w:rFonts w:ascii="Arial" w:hAnsi="Arial" w:eastAsia="Arial" w:cs="Arial"/>
                <w:sz w:val="20"/>
                <w:szCs w:val="20"/>
              </w:rPr>
              <w:t>Where the claim requires retained record, identify OR and test OA-keyed RAS persistence. Intelligence can also concern immediate or embodied application without durable retention (Paper 3, heading 3.3).</w:t>
            </w:r>
          </w:p>
        </w:tc>
      </w:tr>
      <w:tr>
        <w:trPr>
          <w:cantSplit/>
        </w:trPr>
        <w:tc>
          <w:tcPr>
            <w:tcW w:type="dxa" w:w="2669"/>
            <w:vAlign w:val="top"/>
            <w:tcMar>
              <w:top w:w="45" w:type="dxa"/>
              <w:start w:w="55" w:type="dxa"/>
              <w:bottom w:w="45" w:type="dxa"/>
              <w:end w:w="55" w:type="dxa"/>
            </w:tcMar>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line="240" w:lineRule="auto"/>
            </w:pPr>
            <w:r>
              <w:rPr>
                <w:b w:val="0"/>
                <w:i w:val="0"/>
                <w:rFonts w:ascii="Arial" w:hAnsi="Arial" w:eastAsia="Arial" w:cs="Arial"/>
                <w:sz w:val="20"/>
                <w:szCs w:val="20"/>
              </w:rPr>
              <w:t>4. Knowledge status</w:t>
            </w:r>
          </w:p>
        </w:tc>
        <w:tc>
          <w:tcPr>
            <w:tcW w:type="dxa" w:w="11875"/>
            <w:vAlign w:val="top"/>
            <w:tcMar>
              <w:top w:w="45" w:type="dxa"/>
              <w:start w:w="55" w:type="dxa"/>
              <w:bottom w:w="45" w:type="dxa"/>
              <w:end w:w="55" w:type="dxa"/>
            </w:tcMar>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line="240" w:lineRule="auto"/>
            </w:pPr>
            <w:r>
              <w:rPr>
                <w:b w:val="0"/>
                <w:i w:val="0"/>
                <w:rFonts w:ascii="Arial" w:hAnsi="Arial" w:eastAsia="Arial" w:cs="Arial"/>
                <w:sz w:val="20"/>
                <w:szCs w:val="20"/>
              </w:rPr>
              <w:t>Assign TK, KIP, or NTK only where its discriminator is met.</w:t>
            </w:r>
          </w:p>
        </w:tc>
      </w:tr>
      <w:tr>
        <w:trPr>
          <w:cantSplit/>
        </w:trPr>
        <w:tc>
          <w:tcPr>
            <w:tcW w:type="dxa" w:w="2669"/>
            <w:vAlign w:val="top"/>
            <w:tcMar>
              <w:top w:w="45" w:type="dxa"/>
              <w:start w:w="55" w:type="dxa"/>
              <w:bottom w:w="45" w:type="dxa"/>
              <w:end w:w="55" w:type="dxa"/>
            </w:tcMar>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line="240" w:lineRule="auto"/>
            </w:pPr>
            <w:r>
              <w:rPr>
                <w:b w:val="0"/>
                <w:i w:val="0"/>
                <w:rFonts w:ascii="Arial" w:hAnsi="Arial" w:eastAsia="Arial" w:cs="Arial"/>
                <w:sz w:val="20"/>
                <w:szCs w:val="20"/>
              </w:rPr>
              <w:t>5. Provenance and intelligence</w:t>
            </w:r>
          </w:p>
        </w:tc>
        <w:tc>
          <w:tcPr>
            <w:tcW w:type="dxa" w:w="11875"/>
            <w:vAlign w:val="top"/>
            <w:tcMar>
              <w:top w:w="45" w:type="dxa"/>
              <w:start w:w="55" w:type="dxa"/>
              <w:bottom w:w="45" w:type="dxa"/>
              <w:end w:w="55" w:type="dxa"/>
            </w:tcMar>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line="240" w:lineRule="auto"/>
            </w:pPr>
            <w:r>
              <w:rPr>
                <w:b w:val="0"/>
                <w:i w:val="0"/>
                <w:rFonts w:ascii="Arial" w:hAnsi="Arial" w:eastAsia="Arial" w:cs="Arial"/>
                <w:sz w:val="20"/>
                <w:szCs w:val="20"/>
              </w:rPr>
              <w:t>Identify producing locus for made distinction; then test whether the evaluated locus presently applies the distinction to branch-space.</w:t>
            </w:r>
          </w:p>
        </w:tc>
      </w:tr>
      <w:tr>
        <w:trPr>
          <w:cantSplit/>
        </w:trPr>
        <w:tc>
          <w:tcPr>
            <w:tcW w:type="dxa" w:w="2669"/>
            <w:vAlign w:val="top"/>
            <w:tcMar>
              <w:top w:w="45" w:type="dxa"/>
              <w:start w:w="55" w:type="dxa"/>
              <w:bottom w:w="45" w:type="dxa"/>
              <w:end w:w="55" w:type="dxa"/>
            </w:tcMar>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line="240" w:lineRule="auto"/>
            </w:pPr>
            <w:r>
              <w:rPr>
                <w:b w:val="0"/>
                <w:i w:val="0"/>
                <w:rFonts w:ascii="Arial" w:hAnsi="Arial" w:eastAsia="Arial" w:cs="Arial"/>
                <w:sz w:val="20"/>
                <w:szCs w:val="20"/>
              </w:rPr>
              <w:t>6. Non-triviality</w:t>
            </w:r>
          </w:p>
        </w:tc>
        <w:tc>
          <w:tcPr>
            <w:tcW w:type="dxa" w:w="11875"/>
            <w:vAlign w:val="top"/>
            <w:tcMar>
              <w:top w:w="45" w:type="dxa"/>
              <w:start w:w="55" w:type="dxa"/>
              <w:bottom w:w="45" w:type="dxa"/>
              <w:end w:w="55" w:type="dxa"/>
            </w:tcMar>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line="240" w:lineRule="auto"/>
            </w:pPr>
            <w:r>
              <w:rPr>
                <w:b w:val="0"/>
                <w:i w:val="0"/>
                <w:rFonts w:ascii="Arial" w:hAnsi="Arial" w:eastAsia="Arial" w:cs="Arial"/>
                <w:sz w:val="20"/>
                <w:szCs w:val="20"/>
              </w:rPr>
              <w:t>Use BD-family comparator and IPL localisation for realised downstream dependence claims.</w:t>
            </w:r>
          </w:p>
        </w:tc>
      </w:tr>
      <w:tr>
        <w:trPr>
          <w:cantSplit/>
        </w:trPr>
        <w:tc>
          <w:tcPr>
            <w:tcW w:type="dxa" w:w="2669"/>
            <w:vAlign w:val="top"/>
            <w:tcMar>
              <w:top w:w="45" w:type="dxa"/>
              <w:start w:w="55" w:type="dxa"/>
              <w:bottom w:w="45" w:type="dxa"/>
              <w:end w:w="55" w:type="dxa"/>
            </w:tcMar>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line="240" w:lineRule="auto"/>
            </w:pPr>
            <w:r>
              <w:rPr>
                <w:b w:val="0"/>
                <w:i w:val="0"/>
                <w:rFonts w:ascii="Arial" w:hAnsi="Arial" w:eastAsia="Arial" w:cs="Arial"/>
                <w:sz w:val="20"/>
                <w:szCs w:val="20"/>
              </w:rPr>
              <w:t>7. Observation and observer-status</w:t>
            </w:r>
          </w:p>
        </w:tc>
        <w:tc>
          <w:tcPr>
            <w:tcW w:type="dxa" w:w="11875"/>
            <w:vAlign w:val="top"/>
            <w:tcMar>
              <w:top w:w="45" w:type="dxa"/>
              <w:start w:w="55" w:type="dxa"/>
              <w:bottom w:w="45" w:type="dxa"/>
              <w:end w:w="55" w:type="dxa"/>
            </w:tcMar>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line="240" w:lineRule="auto"/>
            </w:pPr>
            <w:r>
              <w:rPr>
                <w:b w:val="0"/>
                <w:i w:val="0"/>
                <w:rFonts w:ascii="Arial" w:hAnsi="Arial" w:eastAsia="Arial" w:cs="Arial"/>
                <w:sz w:val="20"/>
                <w:szCs w:val="20"/>
              </w:rPr>
              <w:t>Assign Pre-TO, TO, OIP/observer-locus, or NTO/Observer.</w:t>
            </w:r>
          </w:p>
        </w:tc>
      </w:tr>
      <w:tr>
        <w:trPr>
          <w:cantSplit/>
        </w:trPr>
        <w:tc>
          <w:tcPr>
            <w:tcW w:type="dxa" w:w="2669"/>
            <w:vAlign w:val="top"/>
            <w:tcMar>
              <w:top w:w="45" w:type="dxa"/>
              <w:start w:w="55" w:type="dxa"/>
              <w:bottom w:w="45" w:type="dxa"/>
              <w:end w:w="55" w:type="dxa"/>
            </w:tcMar>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line="240" w:lineRule="auto"/>
            </w:pPr>
            <w:r>
              <w:rPr>
                <w:b w:val="0"/>
                <w:i w:val="0"/>
                <w:rFonts w:ascii="Arial" w:hAnsi="Arial" w:eastAsia="Arial" w:cs="Arial"/>
                <w:sz w:val="20"/>
                <w:szCs w:val="20"/>
              </w:rPr>
              <w:t>8. Abstraction audit</w:t>
            </w:r>
          </w:p>
        </w:tc>
        <w:tc>
          <w:tcPr>
            <w:tcW w:type="dxa" w:w="11875"/>
            <w:vAlign w:val="top"/>
            <w:tcMar>
              <w:top w:w="45" w:type="dxa"/>
              <w:start w:w="55" w:type="dxa"/>
              <w:bottom w:w="45" w:type="dxa"/>
              <w:end w:w="55" w:type="dxa"/>
            </w:tcMar>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line="240" w:lineRule="auto"/>
            </w:pPr>
            <w:r>
              <w:rPr>
                <w:b w:val="0"/>
                <w:i w:val="0"/>
                <w:rFonts w:ascii="Arial" w:hAnsi="Arial" w:eastAsia="Arial" w:cs="Arial"/>
                <w:sz w:val="20"/>
                <w:szCs w:val="20"/>
              </w:rPr>
              <w:t>Identify cut, abstraction regime, perspective, event-horizon profile, Abstraction Gap, and relational uncertainty.</w:t>
            </w:r>
          </w:p>
        </w:tc>
      </w:tr>
      <w:tr>
        <w:trPr>
          <w:cantSplit/>
        </w:trPr>
        <w:tc>
          <w:tcPr>
            <w:tcW w:type="dxa" w:w="2669"/>
            <w:vAlign w:val="top"/>
            <w:tcMar>
              <w:top w:w="45" w:type="dxa"/>
              <w:start w:w="55" w:type="dxa"/>
              <w:bottom w:w="45" w:type="dxa"/>
              <w:end w:w="55" w:type="dxa"/>
            </w:tcMar>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line="240" w:lineRule="auto"/>
            </w:pPr>
            <w:r>
              <w:rPr>
                <w:b w:val="0"/>
                <w:i w:val="0"/>
                <w:rFonts w:ascii="Arial" w:hAnsi="Arial" w:eastAsia="Arial" w:cs="Arial"/>
                <w:sz w:val="20"/>
                <w:szCs w:val="20"/>
              </w:rPr>
              <w:t>9. Scalar audit</w:t>
            </w:r>
          </w:p>
        </w:tc>
        <w:tc>
          <w:tcPr>
            <w:tcW w:type="dxa" w:w="11875"/>
            <w:vAlign w:val="top"/>
            <w:tcMar>
              <w:top w:w="45" w:type="dxa"/>
              <w:start w:w="55" w:type="dxa"/>
              <w:bottom w:w="45" w:type="dxa"/>
              <w:end w:w="55" w:type="dxa"/>
            </w:tcMar>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line="240" w:lineRule="auto"/>
            </w:pPr>
            <w:r>
              <w:rPr>
                <w:b w:val="0"/>
                <w:i w:val="0"/>
                <w:rFonts w:ascii="Arial" w:hAnsi="Arial" w:eastAsia="Arial" w:cs="Arial"/>
                <w:sz w:val="20"/>
                <w:szCs w:val="20"/>
              </w:rPr>
              <w:t>Separate physical magnitude, reference scale, and operative scale; test alignment and Scale Gap.</w:t>
            </w:r>
          </w:p>
        </w:tc>
      </w:tr>
      <w:tr>
        <w:trPr>
          <w:cantSplit/>
        </w:trPr>
        <w:tc>
          <w:tcPr>
            <w:tcW w:type="dxa" w:w="2669"/>
            <w:vAlign w:val="top"/>
            <w:tcMar>
              <w:top w:w="45" w:type="dxa"/>
              <w:start w:w="55" w:type="dxa"/>
              <w:bottom w:w="45" w:type="dxa"/>
              <w:end w:w="55" w:type="dxa"/>
            </w:tcMar>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line="240" w:lineRule="auto"/>
            </w:pPr>
            <w:r>
              <w:rPr>
                <w:b w:val="0"/>
                <w:i w:val="0"/>
                <w:rFonts w:ascii="Arial" w:hAnsi="Arial" w:eastAsia="Arial" w:cs="Arial"/>
                <w:sz w:val="20"/>
                <w:szCs w:val="20"/>
              </w:rPr>
              <w:t>10. Measurement path</w:t>
            </w:r>
          </w:p>
        </w:tc>
        <w:tc>
          <w:tcPr>
            <w:tcW w:type="dxa" w:w="11875"/>
            <w:vAlign w:val="top"/>
            <w:tcMar>
              <w:top w:w="45" w:type="dxa"/>
              <w:start w:w="55" w:type="dxa"/>
              <w:bottom w:w="45" w:type="dxa"/>
              <w:end w:w="55" w:type="dxa"/>
            </w:tcMar>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line="240" w:lineRule="auto"/>
            </w:pPr>
            <w:r>
              <w:rPr>
                <w:b w:val="0"/>
                <w:i w:val="0"/>
                <w:rFonts w:ascii="Arial" w:hAnsi="Arial" w:eastAsia="Arial" w:cs="Arial"/>
                <w:sz w:val="20"/>
                <w:szCs w:val="20"/>
              </w:rPr>
              <w:t>Map measurement through RRP, OP, OA, OR, RAS, and RSD where later use is claimed.</w:t>
            </w:r>
          </w:p>
        </w:tc>
      </w:tr>
      <w:tr>
        <w:trPr>
          <w:cantSplit/>
        </w:trPr>
        <w:tc>
          <w:tcPr>
            <w:tcW w:type="dxa" w:w="2669"/>
            <w:vAlign w:val="top"/>
            <w:tcMar>
              <w:top w:w="45" w:type="dxa"/>
              <w:start w:w="55" w:type="dxa"/>
              <w:bottom w:w="45" w:type="dxa"/>
              <w:end w:w="55" w:type="dxa"/>
            </w:tcMar>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line="240" w:lineRule="auto"/>
            </w:pPr>
            <w:r>
              <w:rPr>
                <w:b w:val="0"/>
                <w:i w:val="0"/>
                <w:rFonts w:ascii="Arial" w:hAnsi="Arial" w:eastAsia="Arial" w:cs="Arial"/>
                <w:sz w:val="20"/>
                <w:szCs w:val="20"/>
              </w:rPr>
              <w:t>11. Program and envelope</w:t>
            </w:r>
          </w:p>
        </w:tc>
        <w:tc>
          <w:tcPr>
            <w:tcW w:type="dxa" w:w="11875"/>
            <w:vAlign w:val="top"/>
            <w:tcMar>
              <w:top w:w="45" w:type="dxa"/>
              <w:start w:w="55" w:type="dxa"/>
              <w:bottom w:w="45" w:type="dxa"/>
              <w:end w:w="55" w:type="dxa"/>
            </w:tcMar>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line="240" w:lineRule="auto"/>
            </w:pPr>
            <w:r>
              <w:rPr>
                <w:b w:val="0"/>
                <w:i w:val="0"/>
                <w:rFonts w:ascii="Arial" w:hAnsi="Arial" w:eastAsia="Arial" w:cs="Arial"/>
                <w:sz w:val="20"/>
                <w:szCs w:val="20"/>
              </w:rPr>
              <w:t>Establish status first; then grade OH, CH, RF, OBW, OD, OG, ODr, OL, and OCx.</w:t>
            </w:r>
          </w:p>
        </w:tc>
      </w:tr>
      <w:tr>
        <w:trPr>
          <w:cantSplit/>
        </w:trPr>
        <w:tc>
          <w:tcPr>
            <w:tcW w:type="dxa" w:w="2669"/>
            <w:vAlign w:val="top"/>
            <w:tcMar>
              <w:top w:w="45" w:type="dxa"/>
              <w:start w:w="55" w:type="dxa"/>
              <w:bottom w:w="45" w:type="dxa"/>
              <w:end w:w="55" w:type="dxa"/>
            </w:tcMar>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line="240" w:lineRule="auto"/>
            </w:pPr>
            <w:r>
              <w:rPr>
                <w:b w:val="0"/>
                <w:i w:val="0"/>
                <w:rFonts w:ascii="Arial" w:hAnsi="Arial" w:eastAsia="Arial" w:cs="Arial"/>
                <w:sz w:val="20"/>
                <w:szCs w:val="20"/>
              </w:rPr>
              <w:t>12. Output discipline</w:t>
            </w:r>
          </w:p>
        </w:tc>
        <w:tc>
          <w:tcPr>
            <w:tcW w:type="dxa" w:w="11875"/>
            <w:vAlign w:val="top"/>
            <w:tcMar>
              <w:top w:w="45" w:type="dxa"/>
              <w:start w:w="55" w:type="dxa"/>
              <w:bottom w:w="45" w:type="dxa"/>
              <w:end w:w="55" w:type="dxa"/>
            </w:tcMar>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line="240" w:lineRule="auto"/>
            </w:pPr>
            <w:r>
              <w:rPr>
                <w:b w:val="0"/>
                <w:i w:val="0"/>
                <w:rFonts w:ascii="Arial" w:hAnsi="Arial" w:eastAsia="Arial" w:cs="Arial"/>
                <w:sz w:val="20"/>
                <w:szCs w:val="20"/>
              </w:rPr>
              <w:t>State supported statuses, bounded descriptors, failure location, residual, and the condition that would update the claim.</w:t>
            </w:r>
          </w:p>
        </w:tc>
      </w:tr>
    </w:tbl>
    <w:p>
      <w:pPr>
        <w:rPr>
          <w:rFonts w:ascii="Arial" w:hAnsi="Arial" w:eastAsia="Arial" w:cs="Arial"/>
          <w:sz w:val="22"/>
          <w:szCs w:val="22"/>
        </w:rPr>
        <w:widowControl/>
        <w:spacing w:before="0" w:after="0" w:line="240" w:lineRule="auto"/>
        <w:keepNext/>
      </w:pPr>
      <w:r>
        <w:rPr>
          <w:rFonts w:ascii="Arial" w:hAnsi="Arial" w:eastAsia="Arial" w:cs="Arial"/>
          <w:sz w:val="22"/>
        </w:rPr>
      </w:r>
    </w:p>
    <w:p>
      <w:pPr>
        <w:rPr>
          <w:rFonts w:ascii="Arial" w:hAnsi="Arial" w:eastAsia="Arial" w:cs="Arial"/>
          <w:sz w:val="30"/>
          <w:szCs w:val="30"/>
          <w:b w:val="1"/>
          <w:color w:val="1F4E79"/>
        </w:rPr>
        <w:widowControl/>
        <w:spacing w:before="60" w:after="40" w:line="240" w:lineRule="auto"/>
        <w:pStyle w:val="Heading1"/>
        <w:keepNext/>
        <w:keepLines/>
      </w:pPr>
      <w:r>
        <w:rPr>
          <w:i w:val="0"/>
          <w:rFonts w:ascii="Arial" w:hAnsi="Arial" w:eastAsia="Arial" w:cs="Arial"/>
          <w:sz w:val="30"/>
          <w:szCs w:val="30"/>
          <w:b w:val="1"/>
          <w:color w:val="1F4E79"/>
        </w:rPr>
        <w:t>9. Control interfaces</w:t>
      </w:r>
    </w:p>
    <w:tbl>
      <w:tblPr>
        <w:tblStyle w:val="TableGrid"/>
        <w:tblW w:type="dxa" w:w="14544"/>
        <w:jc w:val="center"/>
        <w:tblLayout w:type="fixed"/>
        <w:tblLook w:firstColumn="1" w:firstRow="1" w:lastColumn="0" w:lastRow="0" w:noHBand="0" w:noVBand="1" w:val="04A0"/>
        <w:tblBorders>
          <w:top w:val="single" w:sz="4" w:color="7F7F7F"/>
          <w:left w:val="single" w:sz="4" w:color="7F7F7F"/>
          <w:bottom w:val="single" w:sz="4" w:color="7F7F7F"/>
          <w:right w:val="single" w:sz="4" w:color="7F7F7F"/>
          <w:insideH w:val="single" w:sz="4" w:color="7F7F7F"/>
          <w:insideV w:val="single" w:sz="4" w:color="7F7F7F"/>
        </w:tblBorders>
      </w:tblPr>
      <w:tblGrid>
        <w:gridCol w:w="4003"/>
        <w:gridCol w:w="10541"/>
      </w:tblGrid>
      <w:tr>
        <w:trPr>
          <w:cantSplit/>
          <w:tblHeader w:val="1"/>
        </w:trPr>
        <w:tc>
          <w:tcPr>
            <w:tcW w:type="dxa" w:w="4003"/>
            <w:vAlign w:val="center"/>
            <w:shd w:fill="D9EAF7" w:val="clear"/>
            <w:tcMar>
              <w:top w:w="45" w:type="dxa"/>
              <w:start w:w="55" w:type="dxa"/>
              <w:bottom w:w="45" w:type="dxa"/>
              <w:end w:w="55" w:type="dxa"/>
            </w:tcMar>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pPr>
            <w:r>
              <w:rPr>
                <w:i w:val="0"/>
                <w:rFonts w:ascii="Arial" w:hAnsi="Arial" w:eastAsia="Arial" w:cs="Arial"/>
                <w:sz w:val="20"/>
                <w:szCs w:val="20"/>
                <w:b/>
              </w:rPr>
              <w:t>Interface</w:t>
            </w:r>
          </w:p>
        </w:tc>
        <w:tc>
          <w:tcPr>
            <w:tcW w:type="dxa" w:w="10541"/>
            <w:vAlign w:val="center"/>
            <w:shd w:fill="D9EAF7" w:val="clear"/>
            <w:tcMar>
              <w:top w:w="45" w:type="dxa"/>
              <w:start w:w="55" w:type="dxa"/>
              <w:bottom w:w="45" w:type="dxa"/>
              <w:end w:w="55" w:type="dxa"/>
            </w:tcMar>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pPr>
            <w:r>
              <w:rPr>
                <w:i w:val="0"/>
                <w:rFonts w:ascii="Arial" w:hAnsi="Arial" w:eastAsia="Arial" w:cs="Arial"/>
                <w:sz w:val="20"/>
                <w:szCs w:val="20"/>
                <w:b/>
              </w:rPr>
              <w:t>Control rule</w:t>
            </w:r>
          </w:p>
        </w:tc>
      </w:tr>
      <w:tr>
        <w:trPr>
          <w:cantSplit/>
        </w:trPr>
        <w:tc>
          <w:tcPr>
            <w:tcW w:type="dxa" w:w="4003"/>
            <w:vAlign w:val="top"/>
            <w:tcMar>
              <w:top w:w="45" w:type="dxa"/>
              <w:start w:w="55" w:type="dxa"/>
              <w:bottom w:w="45" w:type="dxa"/>
              <w:end w:w="55" w:type="dxa"/>
            </w:tcMar>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line="240" w:lineRule="auto"/>
            </w:pPr>
            <w:r>
              <w:rPr>
                <w:b w:val="0"/>
                <w:i w:val="0"/>
                <w:rFonts w:ascii="Arial" w:hAnsi="Arial" w:eastAsia="Arial" w:cs="Arial"/>
                <w:sz w:val="20"/>
                <w:szCs w:val="20"/>
              </w:rPr>
              <w:t>Part 2a primary papers and support stack</w:t>
            </w:r>
          </w:p>
        </w:tc>
        <w:tc>
          <w:tcPr>
            <w:tcW w:type="dxa" w:w="10541"/>
            <w:vAlign w:val="top"/>
            <w:tcMar>
              <w:top w:w="45" w:type="dxa"/>
              <w:start w:w="55" w:type="dxa"/>
              <w:bottom w:w="45" w:type="dxa"/>
              <w:end w:w="55" w:type="dxa"/>
            </w:tcMar>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line="240" w:lineRule="auto"/>
            </w:pPr>
            <w:r>
              <w:rPr>
                <w:b w:val="0"/>
                <w:i w:val="0"/>
                <w:rFonts w:ascii="Arial" w:hAnsi="Arial" w:eastAsia="Arial" w:cs="Arial"/>
                <w:sz w:val="20"/>
                <w:szCs w:val="20"/>
              </w:rPr>
              <w:t>Upstream access architecture and Paper 1c physical grounding. Primitive operations, embodiment, derived reachability, Form, selective propagation, and target/model/residual remain distinct; the Part 2b status ladders are unchanged.</w:t>
            </w:r>
          </w:p>
        </w:tc>
      </w:tr>
      <w:tr>
        <w:trPr>
          <w:cantSplit/>
        </w:trPr>
        <w:tc>
          <w:tcPr>
            <w:tcW w:type="dxa" w:w="4003"/>
            <w:vAlign w:val="top"/>
            <w:tcMar>
              <w:top w:w="45" w:type="dxa"/>
              <w:start w:w="55" w:type="dxa"/>
              <w:bottom w:w="45" w:type="dxa"/>
              <w:end w:w="55" w:type="dxa"/>
            </w:tcMar>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line="240" w:lineRule="auto"/>
            </w:pPr>
            <w:r>
              <w:rPr>
                <w:b w:val="0"/>
                <w:i w:val="0"/>
                <w:rFonts w:ascii="Arial" w:hAnsi="Arial" w:eastAsia="Arial" w:cs="Arial"/>
                <w:sz w:val="20"/>
                <w:szCs w:val="20"/>
              </w:rPr>
              <w:t>Part 1 support stack</w:t>
            </w:r>
          </w:p>
        </w:tc>
        <w:tc>
          <w:tcPr>
            <w:tcW w:type="dxa" w:w="10541"/>
            <w:vAlign w:val="top"/>
            <w:tcMar>
              <w:top w:w="45" w:type="dxa"/>
              <w:start w:w="55" w:type="dxa"/>
              <w:bottom w:w="45" w:type="dxa"/>
              <w:end w:w="55" w:type="dxa"/>
            </w:tcMar>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line="240" w:lineRule="auto"/>
            </w:pPr>
            <w:r>
              <w:rPr>
                <w:b w:val="0"/>
                <w:i w:val="0"/>
                <w:rFonts w:ascii="Arial" w:hAnsi="Arial" w:eastAsia="Arial" w:cs="Arial"/>
                <w:sz w:val="20"/>
                <w:szCs w:val="20"/>
              </w:rPr>
              <w:t>Inherited-control check for NTC, BD, and IPL only. Life threshold, attribution classes, and closure architecture are not Part 2b status terms.</w:t>
            </w:r>
          </w:p>
        </w:tc>
      </w:tr>
      <w:tr>
        <w:trPr>
          <w:cantSplit/>
        </w:trPr>
        <w:tc>
          <w:tcPr>
            <w:tcW w:type="dxa" w:w="4003"/>
            <w:vAlign w:val="top"/>
            <w:tcMar>
              <w:top w:w="45" w:type="dxa"/>
              <w:start w:w="55" w:type="dxa"/>
              <w:bottom w:w="45" w:type="dxa"/>
              <w:end w:w="55" w:type="dxa"/>
            </w:tcMar>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line="240" w:lineRule="auto"/>
            </w:pPr>
            <w:r>
              <w:rPr>
                <w:b w:val="0"/>
                <w:i w:val="0"/>
                <w:rFonts w:ascii="Arial" w:hAnsi="Arial" w:eastAsia="Arial" w:cs="Arial"/>
                <w:sz w:val="20"/>
                <w:szCs w:val="20"/>
              </w:rPr>
              <w:t>SD-01 Concept Compression Map</w:t>
            </w:r>
          </w:p>
        </w:tc>
        <w:tc>
          <w:tcPr>
            <w:tcW w:type="dxa" w:w="10541"/>
            <w:vAlign w:val="top"/>
            <w:tcMar>
              <w:top w:w="45" w:type="dxa"/>
              <w:start w:w="55" w:type="dxa"/>
              <w:bottom w:w="45" w:type="dxa"/>
              <w:end w:w="55" w:type="dxa"/>
            </w:tcMar>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line="240" w:lineRule="auto"/>
            </w:pPr>
            <w:r>
              <w:rPr>
                <w:b w:val="0"/>
                <w:i w:val="0"/>
                <w:rFonts w:ascii="Arial" w:hAnsi="Arial" w:eastAsia="Arial" w:cs="Arial"/>
                <w:sz w:val="20"/>
                <w:szCs w:val="20"/>
              </w:rPr>
              <w:t>Navigation and architecture compression only. Canonical papers govern contested readings.</w:t>
            </w:r>
          </w:p>
        </w:tc>
      </w:tr>
      <w:tr>
        <w:trPr>
          <w:cantSplit/>
        </w:trPr>
        <w:tc>
          <w:tcPr>
            <w:tcW w:type="dxa" w:w="4003"/>
            <w:vAlign w:val="top"/>
            <w:tcMar>
              <w:top w:w="45" w:type="dxa"/>
              <w:start w:w="55" w:type="dxa"/>
              <w:bottom w:w="45" w:type="dxa"/>
              <w:end w:w="55" w:type="dxa"/>
            </w:tcMar>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line="240" w:lineRule="auto"/>
            </w:pPr>
            <w:r>
              <w:rPr>
                <w:b w:val="0"/>
                <w:i w:val="0"/>
                <w:rFonts w:ascii="Arial" w:hAnsi="Arial" w:eastAsia="Arial" w:cs="Arial"/>
                <w:sz w:val="20"/>
                <w:szCs w:val="20"/>
              </w:rPr>
              <w:t>SD-02 Part 2 Glossary</w:t>
            </w:r>
          </w:p>
        </w:tc>
        <w:tc>
          <w:tcPr>
            <w:tcW w:type="dxa" w:w="10541"/>
            <w:vAlign w:val="top"/>
            <w:tcMar>
              <w:top w:w="45" w:type="dxa"/>
              <w:start w:w="55" w:type="dxa"/>
              <w:bottom w:w="45" w:type="dxa"/>
              <w:end w:w="55" w:type="dxa"/>
            </w:tcMar>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line="240" w:lineRule="auto"/>
            </w:pPr>
            <w:r>
              <w:rPr>
                <w:b w:val="0"/>
                <w:i w:val="0"/>
                <w:rFonts w:ascii="Arial" w:hAnsi="Arial" w:eastAsia="Arial" w:cs="Arial"/>
                <w:sz w:val="20"/>
                <w:szCs w:val="20"/>
              </w:rPr>
              <w:t>Controlled vocabulary and guardrails for the ten-paper Part 2 baseline. The Part 2b region mirrors its six canonical papers and explicitly marks the Paper 1c cross-references.</w:t>
            </w:r>
          </w:p>
        </w:tc>
      </w:tr>
      <w:tr>
        <w:trPr>
          <w:cantSplit/>
        </w:trPr>
        <w:tc>
          <w:tcPr>
            <w:tcW w:type="dxa" w:w="4003"/>
            <w:vAlign w:val="top"/>
            <w:tcMar>
              <w:top w:w="45" w:type="dxa"/>
              <w:start w:w="55" w:type="dxa"/>
              <w:bottom w:w="45" w:type="dxa"/>
              <w:end w:w="55" w:type="dxa"/>
            </w:tcMar>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line="240" w:lineRule="auto"/>
            </w:pPr>
            <w:r>
              <w:rPr>
                <w:b w:val="0"/>
                <w:i w:val="0"/>
                <w:rFonts w:ascii="Arial" w:hAnsi="Arial" w:eastAsia="Arial" w:cs="Arial"/>
                <w:sz w:val="20"/>
                <w:szCs w:val="20"/>
              </w:rPr>
              <w:t>SD-03 Guardrail and Failure-Mode Register</w:t>
            </w:r>
          </w:p>
        </w:tc>
        <w:tc>
          <w:tcPr>
            <w:tcW w:type="dxa" w:w="10541"/>
            <w:vAlign w:val="top"/>
            <w:tcMar>
              <w:top w:w="45" w:type="dxa"/>
              <w:start w:w="55" w:type="dxa"/>
              <w:bottom w:w="45" w:type="dxa"/>
              <w:end w:w="55" w:type="dxa"/>
            </w:tcMar>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line="240" w:lineRule="auto"/>
            </w:pPr>
            <w:r>
              <w:rPr>
                <w:b w:val="0"/>
                <w:i w:val="0"/>
                <w:rFonts w:ascii="Arial" w:hAnsi="Arial" w:eastAsia="Arial" w:cs="Arial"/>
                <w:sz w:val="20"/>
                <w:szCs w:val="20"/>
              </w:rPr>
              <w:t>Failure control and diagnostic questions. It must not become an alternative procedure or verdict engine.</w:t>
            </w:r>
          </w:p>
        </w:tc>
      </w:tr>
      <w:tr>
        <w:trPr>
          <w:cantSplit/>
        </w:trPr>
        <w:tc>
          <w:tcPr>
            <w:tcW w:type="dxa" w:w="4003"/>
            <w:vAlign w:val="top"/>
            <w:tcMar>
              <w:top w:w="45" w:type="dxa"/>
              <w:start w:w="55" w:type="dxa"/>
              <w:bottom w:w="45" w:type="dxa"/>
              <w:end w:w="55" w:type="dxa"/>
            </w:tcMar>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line="240" w:lineRule="auto"/>
            </w:pPr>
            <w:r>
              <w:rPr>
                <w:b w:val="0"/>
                <w:i w:val="0"/>
                <w:rFonts w:ascii="Arial" w:hAnsi="Arial" w:eastAsia="Arial" w:cs="Arial"/>
                <w:sz w:val="20"/>
                <w:szCs w:val="20"/>
              </w:rPr>
              <w:t>Part 3 handoff</w:t>
            </w:r>
          </w:p>
        </w:tc>
        <w:tc>
          <w:tcPr>
            <w:tcW w:type="dxa" w:w="10541"/>
            <w:vAlign w:val="top"/>
            <w:tcMar>
              <w:top w:w="45" w:type="dxa"/>
              <w:start w:w="55" w:type="dxa"/>
              <w:bottom w:w="45" w:type="dxa"/>
              <w:end w:w="55" w:type="dxa"/>
            </w:tcMar>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line="240" w:lineRule="auto"/>
            </w:pPr>
            <w:r>
              <w:rPr>
                <w:b w:val="0"/>
                <w:i w:val="0"/>
                <w:rFonts w:ascii="Arial" w:hAnsi="Arial" w:eastAsia="Arial" w:cs="Arial"/>
                <w:sz w:val="20"/>
                <w:szCs w:val="20"/>
              </w:rPr>
              <w:t>The full discipline of the unknown remains downstream. Part 2b may localise missing conditions and carry residual but does not supply the later complete residual procedure.</w:t>
            </w:r>
          </w:p>
        </w:tc>
      </w:tr>
    </w:tbl>
    <w:p>
      <w:pPr>
        <w:keepNext/>
        <w:widowControl/>
        <w:spacing w:line="240" w:lineRule="auto" w:before="0" w:after="0"/>
      </w:pPr>
      <w:r>
        <w:rPr>
          <w:rFonts w:ascii="Arial" w:hAnsi="Arial" w:eastAsia="Arial" w:cs="Arial"/>
          <w:sz w:val="22"/>
        </w:rPr>
      </w:r>
    </w:p>
    <w:p>
      <w:pPr>
        <w:pStyle w:val="Heading2"/>
        <w:keepNext/>
        <w:widowControl/>
      </w:pPr>
      <w:r>
        <w:rPr>
          <w:rFonts w:ascii="Arial" w:hAnsi="Arial" w:eastAsia="Arial" w:cs="Arial"/>
          <w:sz w:val="24"/>
        </w:rPr>
        <w:t>9.1 Paper 1c alignment with Part 2b</w:t>
      </w:r>
    </w:p>
    <w:tbl>
      <w:tblPr>
        <w:tblW w:type="auto" w:w="0"/>
        <w:jc w:val="center"/>
        <w:tblLayout w:type="autofit"/>
        <w:tblLook w:firstColumn="1" w:firstRow="1" w:lastColumn="0" w:lastRow="0" w:noHBand="0" w:noVBand="1" w:val="04A0"/>
        <w:tblBorders>
          <w:top w:val="single" w:sz="4" w:color="7F7F7F"/>
          <w:left w:val="single" w:sz="4" w:color="7F7F7F"/>
          <w:bottom w:val="single" w:sz="4" w:color="7F7F7F"/>
          <w:right w:val="single" w:sz="4" w:color="7F7F7F"/>
          <w:insideH w:val="single" w:sz="4" w:color="7F7F7F"/>
          <w:insideV w:val="single" w:sz="4" w:color="7F7F7F"/>
        </w:tblBorders>
      </w:tblPr>
      <w:tblGrid>
        <w:gridCol w:w="4848"/>
        <w:gridCol w:w="4848"/>
        <w:gridCol w:w="4848"/>
      </w:tblGrid>
      <w:tr>
        <w:trPr>
          <w:tblHeader w:val="1"/>
        </w:trPr>
        <w:tc>
          <w:tcPr>
            <w:tcW w:type="dxa" w:w="3312"/>
            <w:vAlign w:val="top"/>
            <w:shd w:fill="D9EAF7" w:val="clear"/>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before="0" w:line="240" w:lineRule="auto"/>
            </w:pPr>
            <w:r>
              <w:rPr>
                <w:rFonts w:ascii="Arial" w:hAnsi="Arial" w:eastAsia="Arial" w:cs="Arial"/>
                <w:sz w:val="20"/>
                <w:szCs w:val="20"/>
                <w:b/>
              </w:rPr>
              <w:t>Interface</w:t>
            </w:r>
          </w:p>
        </w:tc>
        <w:tc>
          <w:tcPr>
            <w:tcW w:type="dxa" w:w="2016"/>
            <w:vAlign w:val="top"/>
            <w:shd w:fill="D9EAF7" w:val="clear"/>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before="0" w:line="240" w:lineRule="auto"/>
            </w:pPr>
            <w:r>
              <w:rPr>
                <w:rFonts w:ascii="Arial" w:hAnsi="Arial" w:eastAsia="Arial" w:cs="Arial"/>
                <w:sz w:val="20"/>
                <w:szCs w:val="20"/>
                <w:b/>
              </w:rPr>
              <w:t>Support-level distinction</w:t>
            </w:r>
          </w:p>
        </w:tc>
        <w:tc>
          <w:tcPr>
            <w:tcW w:type="dxa" w:w="9000"/>
            <w:vAlign w:val="top"/>
            <w:shd w:fill="D9EAF7" w:val="clear"/>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before="0" w:line="240" w:lineRule="auto"/>
            </w:pPr>
            <w:r>
              <w:rPr>
                <w:rFonts w:ascii="Arial" w:hAnsi="Arial" w:eastAsia="Arial" w:cs="Arial"/>
                <w:sz w:val="20"/>
                <w:szCs w:val="20"/>
                <w:b/>
              </w:rPr>
              <w:t>Canonical anchors</w:t>
            </w:r>
          </w:p>
        </w:tc>
      </w:tr>
      <w:tr>
        <w:trPr/>
        <w:tc>
          <w:tcPr>
            <w:tcW w:type="dxa" w:w="3312"/>
            <w:vAlign w:val="top"/>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before="0" w:line="240" w:lineRule="auto"/>
            </w:pPr>
            <w:r>
              <w:rPr>
                <w:b w:val="0"/>
                <w:rFonts w:ascii="Arial" w:hAnsi="Arial" w:eastAsia="Arial" w:cs="Arial"/>
                <w:sz w:val="20"/>
                <w:szCs w:val="20"/>
              </w:rPr>
              <w:t>Retained knowledge</w:t>
            </w:r>
          </w:p>
        </w:tc>
        <w:tc>
          <w:tcPr>
            <w:tcW w:type="dxa" w:w="2016"/>
            <w:vAlign w:val="top"/>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before="0" w:line="240" w:lineRule="auto"/>
            </w:pPr>
            <w:r>
              <w:rPr>
                <w:b w:val="0"/>
                <w:rFonts w:ascii="Arial" w:hAnsi="Arial" w:eastAsia="Arial" w:cs="Arial"/>
                <w:sz w:val="20"/>
                <w:szCs w:val="20"/>
              </w:rPr>
              <w:t>Embodiment explains an earned RAS physically; TK/KIP/NTK still distinguish presence, deployability, and deployment.</w:t>
            </w:r>
          </w:p>
        </w:tc>
        <w:tc>
          <w:tcPr>
            <w:tcW w:type="dxa" w:w="9000"/>
            <w:vAlign w:val="top"/>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before="0" w:line="240" w:lineRule="auto"/>
            </w:pPr>
            <w:r>
              <w:rPr>
                <w:b w:val="0"/>
                <w:rFonts w:ascii="Arial" w:hAnsi="Arial" w:eastAsia="Arial" w:cs="Arial"/>
                <w:sz w:val="20"/>
                <w:szCs w:val="20"/>
              </w:rPr>
              <w:t>Paper 1c, heading 2.3; Paper 2, headings 2-3</w:t>
            </w:r>
          </w:p>
        </w:tc>
      </w:tr>
      <w:tr>
        <w:trPr/>
        <w:tc>
          <w:tcPr>
            <w:tcW w:type="dxa" w:w="3312"/>
            <w:vAlign w:val="top"/>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before="0" w:line="240" w:lineRule="auto"/>
            </w:pPr>
            <w:r>
              <w:rPr>
                <w:b w:val="0"/>
                <w:rFonts w:ascii="Arial" w:hAnsi="Arial" w:eastAsia="Arial" w:cs="Arial"/>
                <w:sz w:val="20"/>
                <w:szCs w:val="20"/>
              </w:rPr>
              <w:t>Made distinction and intelligence</w:t>
            </w:r>
          </w:p>
        </w:tc>
        <w:tc>
          <w:tcPr>
            <w:tcW w:type="dxa" w:w="2016"/>
            <w:vAlign w:val="top"/>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before="0" w:line="240" w:lineRule="auto"/>
            </w:pPr>
            <w:r>
              <w:rPr>
                <w:b w:val="0"/>
                <w:rFonts w:ascii="Arial" w:hAnsi="Arial" w:eastAsia="Arial" w:cs="Arial"/>
                <w:sz w:val="20"/>
                <w:szCs w:val="20"/>
              </w:rPr>
              <w:t>Embodiment or Form membership alone does not earn active-information provenance or present intelligence. Identify the producing locus and any current application separately.</w:t>
            </w:r>
          </w:p>
        </w:tc>
        <w:tc>
          <w:tcPr>
            <w:tcW w:type="dxa" w:w="9000"/>
            <w:vAlign w:val="top"/>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before="0" w:line="240" w:lineRule="auto"/>
            </w:pPr>
            <w:r>
              <w:rPr>
                <w:b w:val="0"/>
                <w:rFonts w:ascii="Arial" w:hAnsi="Arial" w:eastAsia="Arial" w:cs="Arial"/>
                <w:sz w:val="20"/>
                <w:szCs w:val="20"/>
              </w:rPr>
              <w:t>Paper 1c, heading 6; Paper 3, headings 3.1 and 4.3-4.5</w:t>
            </w:r>
          </w:p>
        </w:tc>
      </w:tr>
      <w:tr>
        <w:trPr/>
        <w:tc>
          <w:tcPr>
            <w:tcW w:type="dxa" w:w="3312"/>
            <w:vAlign w:val="top"/>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before="0" w:line="240" w:lineRule="auto"/>
            </w:pPr>
            <w:r>
              <w:rPr>
                <w:b w:val="0"/>
                <w:rFonts w:ascii="Arial" w:hAnsi="Arial" w:eastAsia="Arial" w:cs="Arial"/>
                <w:sz w:val="20"/>
                <w:szCs w:val="20"/>
              </w:rPr>
              <w:t>Reachability and deployability</w:t>
            </w:r>
          </w:p>
        </w:tc>
        <w:tc>
          <w:tcPr>
            <w:tcW w:type="dxa" w:w="2016"/>
            <w:vAlign w:val="top"/>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before="0" w:line="240" w:lineRule="auto"/>
            </w:pPr>
            <w:r>
              <w:rPr>
                <w:b w:val="0"/>
                <w:rFonts w:ascii="Arial" w:hAnsi="Arial" w:eastAsia="Arial" w:cs="Arial"/>
                <w:sz w:val="20"/>
                <w:szCs w:val="20"/>
              </w:rPr>
              <w:t>Relation formation is not the grounded RSD pathway of KIP/OIP, and neither alone is realised deployment.</w:t>
            </w:r>
          </w:p>
        </w:tc>
        <w:tc>
          <w:tcPr>
            <w:tcW w:type="dxa" w:w="9000"/>
            <w:vAlign w:val="top"/>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before="0" w:line="240" w:lineRule="auto"/>
            </w:pPr>
            <w:r>
              <w:rPr>
                <w:b w:val="0"/>
                <w:rFonts w:ascii="Arial" w:hAnsi="Arial" w:eastAsia="Arial" w:cs="Arial"/>
                <w:sz w:val="20"/>
                <w:szCs w:val="20"/>
              </w:rPr>
              <w:t>Paper 1c, heading 2.4; Paper 2, heading 3.3; Paper 4, heading 3.4</w:t>
            </w:r>
          </w:p>
        </w:tc>
      </w:tr>
      <w:tr>
        <w:trPr/>
        <w:tc>
          <w:tcPr>
            <w:tcW w:type="dxa" w:w="3312"/>
            <w:vAlign w:val="top"/>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before="0" w:line="240" w:lineRule="auto"/>
            </w:pPr>
            <w:r>
              <w:rPr>
                <w:b w:val="0"/>
                <w:rFonts w:ascii="Arial" w:hAnsi="Arial" w:eastAsia="Arial" w:cs="Arial"/>
                <w:sz w:val="20"/>
                <w:szCs w:val="20"/>
              </w:rPr>
              <w:t>Observation and distributed Form</w:t>
            </w:r>
          </w:p>
        </w:tc>
        <w:tc>
          <w:tcPr>
            <w:tcW w:type="dxa" w:w="2016"/>
            <w:vAlign w:val="top"/>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before="0" w:line="240" w:lineRule="auto"/>
            </w:pPr>
            <w:r>
              <w:rPr>
                <w:b w:val="0"/>
                <w:rFonts w:ascii="Arial" w:hAnsi="Arial" w:eastAsia="Arial" w:cs="Arial"/>
                <w:sz w:val="20"/>
                <w:szCs w:val="20"/>
              </w:rPr>
              <w:t>A Form may span loci without constituting one observer-locus, Observer, or record-operative chain.</w:t>
            </w:r>
          </w:p>
        </w:tc>
        <w:tc>
          <w:tcPr>
            <w:tcW w:type="dxa" w:w="9000"/>
            <w:vAlign w:val="top"/>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before="0" w:line="240" w:lineRule="auto"/>
            </w:pPr>
            <w:r>
              <w:rPr>
                <w:b w:val="0"/>
                <w:rFonts w:ascii="Arial" w:hAnsi="Arial" w:eastAsia="Arial" w:cs="Arial"/>
                <w:sz w:val="20"/>
                <w:szCs w:val="20"/>
              </w:rPr>
              <w:t>Paper 1c, headings 5.3 and 7.1; Paper 4, headings 3-4</w:t>
            </w:r>
          </w:p>
        </w:tc>
      </w:tr>
      <w:tr>
        <w:trPr/>
        <w:tc>
          <w:tcPr>
            <w:tcW w:type="dxa" w:w="3312"/>
            <w:vAlign w:val="top"/>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before="0" w:line="240" w:lineRule="auto"/>
            </w:pPr>
            <w:r>
              <w:rPr>
                <w:b w:val="0"/>
                <w:rFonts w:ascii="Arial" w:hAnsi="Arial" w:eastAsia="Arial" w:cs="Arial"/>
                <w:sz w:val="20"/>
                <w:szCs w:val="20"/>
              </w:rPr>
              <w:t>Abstraction and scale</w:t>
            </w:r>
          </w:p>
        </w:tc>
        <w:tc>
          <w:tcPr>
            <w:tcW w:type="dxa" w:w="2016"/>
            <w:vAlign w:val="top"/>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before="0" w:line="240" w:lineRule="auto"/>
            </w:pPr>
            <w:r>
              <w:rPr>
                <w:b w:val="0"/>
                <w:rFonts w:ascii="Arial" w:hAnsi="Arial" w:eastAsia="Arial" w:cs="Arial"/>
                <w:sz w:val="20"/>
                <w:szCs w:val="20"/>
              </w:rPr>
              <w:t>Physical classing and historical reach do not replace the observation-specific perspective, scalar alignment, or measurement burdens.</w:t>
            </w:r>
          </w:p>
        </w:tc>
        <w:tc>
          <w:tcPr>
            <w:tcW w:type="dxa" w:w="9000"/>
            <w:vAlign w:val="top"/>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before="0" w:line="240" w:lineRule="auto"/>
            </w:pPr>
            <w:r>
              <w:rPr>
                <w:b w:val="0"/>
                <w:rFonts w:ascii="Arial" w:hAnsi="Arial" w:eastAsia="Arial" w:cs="Arial"/>
                <w:sz w:val="20"/>
                <w:szCs w:val="20"/>
              </w:rPr>
              <w:t xml:space="preserve">Paper 1c, headings 2.2-2.4; Paper 4a, heading 2.4; Paper 4b, headings 2 and 4</w:t>
            </w:r>
          </w:p>
        </w:tc>
      </w:tr>
      <w:tr>
        <w:trPr/>
        <w:tc>
          <w:tcPr>
            <w:tcW w:type="dxa" w:w="3312"/>
            <w:vAlign w:val="top"/>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before="0" w:line="240" w:lineRule="auto"/>
            </w:pPr>
            <w:r>
              <w:rPr>
                <w:b w:val="0"/>
                <w:rFonts w:ascii="Arial" w:hAnsi="Arial" w:eastAsia="Arial" w:cs="Arial"/>
                <w:sz w:val="20"/>
                <w:szCs w:val="20"/>
              </w:rPr>
              <w:t>Program envelope and notation</w:t>
            </w:r>
          </w:p>
        </w:tc>
        <w:tc>
          <w:tcPr>
            <w:tcW w:type="dxa" w:w="2016"/>
            <w:vAlign w:val="top"/>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before="0" w:line="240" w:lineRule="auto"/>
            </w:pPr>
            <w:r>
              <w:rPr>
                <w:b w:val="0"/>
                <w:rFonts w:ascii="Arial" w:hAnsi="Arial" w:eastAsia="Arial" w:cs="Arial"/>
                <w:sz w:val="20"/>
                <w:szCs w:val="20"/>
              </w:rPr>
              <w:t>Keep ingress, relation formation, reliable program reach (OH), admissible intervention (CH), and test window separate. RF means Registration Fidelity, not Relational Form.</w:t>
            </w:r>
          </w:p>
        </w:tc>
        <w:tc>
          <w:tcPr>
            <w:tcW w:type="dxa" w:w="9000"/>
            <w:vAlign w:val="top"/>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before="0" w:line="240" w:lineRule="auto"/>
            </w:pPr>
            <w:r>
              <w:rPr>
                <w:b w:val="0"/>
                <w:rFonts w:ascii="Arial" w:hAnsi="Arial" w:eastAsia="Arial" w:cs="Arial"/>
                <w:sz w:val="20"/>
                <w:szCs w:val="20"/>
              </w:rPr>
              <w:t>Paper 1c, heading 2.4; Paper 4c, headings 2.1-3.1</w:t>
            </w:r>
          </w:p>
        </w:tc>
      </w:tr>
      <w:tr>
        <w:trPr/>
        <w:tc>
          <w:tcPr>
            <w:tcW w:type="dxa" w:w="3312"/>
            <w:vAlign w:val="top"/>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before="0" w:line="240" w:lineRule="auto"/>
            </w:pPr>
            <w:r>
              <w:rPr>
                <w:b w:val="0"/>
                <w:rFonts w:ascii="Arial" w:hAnsi="Arial" w:eastAsia="Arial" w:cs="Arial"/>
                <w:sz w:val="20"/>
                <w:szCs w:val="20"/>
              </w:rPr>
              <w:t>Residual and update</w:t>
            </w:r>
          </w:p>
        </w:tc>
        <w:tc>
          <w:tcPr>
            <w:tcW w:type="dxa" w:w="2016"/>
            <w:vAlign w:val="top"/>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before="0" w:line="240" w:lineRule="auto"/>
            </w:pPr>
            <w:r>
              <w:rPr>
                <w:b w:val="0"/>
                <w:rFonts w:ascii="Arial" w:hAnsi="Arial" w:eastAsia="Arial" w:cs="Arial"/>
                <w:sz w:val="20"/>
                <w:szCs w:val="20"/>
              </w:rPr>
              <w:t>A new interface, intermediate retained distinction, scaffold, or corrected abstraction can alter reach; the Part 3 residual procedure remains downstream.</w:t>
            </w:r>
          </w:p>
        </w:tc>
        <w:tc>
          <w:tcPr>
            <w:tcW w:type="dxa" w:w="9000"/>
            <w:vAlign w:val="top"/>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before="0" w:line="240" w:lineRule="auto"/>
            </w:pPr>
            <w:r>
              <w:rPr>
                <w:b w:val="0"/>
                <w:rFonts w:ascii="Arial" w:hAnsi="Arial" w:eastAsia="Arial" w:cs="Arial"/>
                <w:sz w:val="20"/>
                <w:szCs w:val="20"/>
              </w:rPr>
              <w:t>Paper 1c, heading 5.2; Paper 4c, heading 1.5</w:t>
            </w:r>
          </w:p>
        </w:tc>
      </w:tr>
    </w:tbl>
    <w:p>
      <w:pPr>
        <w:keepNext/>
        <w:widowControl/>
        <w:spacing w:line="240" w:lineRule="auto" w:before="0" w:after="0"/>
      </w:pPr>
      <w:r>
        <w:rPr>
          <w:rFonts w:ascii="Arial" w:hAnsi="Arial" w:eastAsia="Arial" w:cs="Arial"/>
          <w:sz w:val="22"/>
        </w:rPr>
      </w:r>
    </w:p>
    <w:p>
      <w:pPr>
        <w:rPr>
          <w:rFonts w:ascii="Arial" w:hAnsi="Arial" w:eastAsia="Arial" w:cs="Arial"/>
          <w:sz w:val="30"/>
          <w:szCs w:val="30"/>
          <w:b w:val="1"/>
          <w:color w:val="1F4E79"/>
        </w:rPr>
        <w:widowControl/>
        <w:spacing w:before="60" w:after="40" w:line="240" w:lineRule="auto"/>
        <w:pStyle w:val="Heading1"/>
        <w:keepNext/>
        <w:keepLines/>
      </w:pPr>
      <w:r>
        <w:rPr>
          <w:i w:val="0"/>
          <w:rFonts w:ascii="Arial" w:hAnsi="Arial" w:eastAsia="Arial" w:cs="Arial"/>
          <w:sz w:val="30"/>
          <w:szCs w:val="30"/>
          <w:b w:val="1"/>
          <w:color w:val="1F4E79"/>
        </w:rPr>
        <w:t>10. Extension protocol and release checklist</w:t>
      </w:r>
    </w:p>
    <w:p>
      <w:pPr>
        <w:rPr>
          <w:rFonts w:ascii="Arial" w:hAnsi="Arial" w:eastAsia="Arial" w:cs="Arial"/>
          <w:sz w:val="22"/>
          <w:szCs w:val="22"/>
        </w:rPr>
        <w:widowControl/>
        <w:spacing w:before="0" w:after="20" w:line="240" w:lineRule="auto"/>
        <w:ind w:left="216" w:hanging="144"/>
      </w:pPr>
      <w:r>
        <w:rPr>
          <w:b w:val="0"/>
          <w:i w:val="0"/>
          <w:rFonts w:ascii="Arial" w:hAnsi="Arial" w:eastAsia="Arial" w:cs="Arial"/>
          <w:sz w:val="22"/>
          <w:szCs w:val="22"/>
        </w:rPr>
      </w:r>
      <w:r>
        <w:rPr>
          <w:rFonts w:ascii="Arial" w:hAnsi="Arial" w:eastAsia="Arial" w:cs="Arial"/>
          <w:sz w:val="22"/>
          <w:szCs w:val="22"/>
        </w:rPr>
        <w:t>• Confirm all six current primary papers and their filenames, versions, and hashes.</w:t>
      </w:r>
    </w:p>
    <w:p>
      <w:pPr>
        <w:rPr>
          <w:rFonts w:ascii="Arial" w:hAnsi="Arial" w:eastAsia="Arial" w:cs="Arial"/>
          <w:sz w:val="22"/>
          <w:szCs w:val="22"/>
        </w:rPr>
        <w:widowControl/>
        <w:spacing w:before="0" w:after="20" w:line="240" w:lineRule="auto"/>
        <w:ind w:left="216" w:hanging="144"/>
      </w:pPr>
      <w:r>
        <w:rPr>
          <w:b w:val="0"/>
          <w:i w:val="0"/>
          <w:rFonts w:ascii="Arial" w:hAnsi="Arial" w:eastAsia="Arial" w:cs="Arial"/>
          <w:sz w:val="22"/>
          <w:szCs w:val="22"/>
        </w:rPr>
      </w:r>
      <w:r>
        <w:rPr>
          <w:rFonts w:ascii="Arial" w:hAnsi="Arial" w:eastAsia="Arial" w:cs="Arial"/>
          <w:sz w:val="22"/>
          <w:szCs w:val="22"/>
        </w:rPr>
        <w:t>• Keep Paper 2 knowledge, Paper 3 intelligence, Paper 4 observation, Paper 4a abstraction, Paper 4b scale, and Paper 4c envelope ownership visible.</w:t>
      </w:r>
    </w:p>
    <w:p>
      <w:pPr>
        <w:rPr>
          <w:rFonts w:ascii="Arial" w:hAnsi="Arial" w:eastAsia="Arial" w:cs="Arial"/>
          <w:sz w:val="22"/>
          <w:szCs w:val="22"/>
        </w:rPr>
        <w:widowControl/>
        <w:spacing w:before="0" w:after="20" w:line="240" w:lineRule="auto"/>
        <w:ind w:left="216" w:hanging="144"/>
      </w:pPr>
      <w:r>
        <w:rPr>
          <w:b w:val="0"/>
          <w:i w:val="0"/>
          <w:rFonts w:ascii="Arial" w:hAnsi="Arial" w:eastAsia="Arial" w:cs="Arial"/>
          <w:sz w:val="22"/>
          <w:szCs w:val="22"/>
        </w:rPr>
      </w:r>
      <w:r>
        <w:rPr>
          <w:rFonts w:ascii="Arial" w:hAnsi="Arial" w:eastAsia="Arial" w:cs="Arial"/>
          <w:sz w:val="22"/>
          <w:szCs w:val="22"/>
        </w:rPr>
        <w:t>• Preserve the producing-locus rule for active-information provenance.</w:t>
      </w:r>
    </w:p>
    <w:p>
      <w:pPr>
        <w:rPr>
          <w:rFonts w:ascii="Arial" w:hAnsi="Arial" w:eastAsia="Arial" w:cs="Arial"/>
          <w:sz w:val="22"/>
          <w:szCs w:val="22"/>
        </w:rPr>
        <w:widowControl/>
        <w:spacing w:before="0" w:after="20" w:line="240" w:lineRule="auto"/>
        <w:ind w:left="216" w:hanging="144"/>
      </w:pPr>
      <w:r>
        <w:rPr>
          <w:b w:val="0"/>
          <w:i w:val="0"/>
          <w:rFonts w:ascii="Arial" w:hAnsi="Arial" w:eastAsia="Arial" w:cs="Arial"/>
          <w:sz w:val="22"/>
          <w:szCs w:val="22"/>
        </w:rPr>
      </w:r>
      <w:r>
        <w:rPr>
          <w:rFonts w:ascii="Arial" w:hAnsi="Arial" w:eastAsia="Arial" w:cs="Arial"/>
          <w:sz w:val="22"/>
          <w:szCs w:val="22"/>
        </w:rPr>
        <w:t>• Do not collapse TK/KIP/NTK, Pre-TO/TO/OIP/NTO, or threshold status into performance grading.</w:t>
      </w:r>
    </w:p>
    <w:p>
      <w:pPr>
        <w:rPr>
          <w:rFonts w:ascii="Arial" w:hAnsi="Arial" w:eastAsia="Arial" w:cs="Arial"/>
          <w:sz w:val="22"/>
          <w:szCs w:val="22"/>
        </w:rPr>
        <w:widowControl/>
        <w:spacing w:before="0" w:after="20" w:line="240" w:lineRule="auto"/>
        <w:ind w:left="216" w:hanging="144"/>
      </w:pPr>
      <w:r>
        <w:rPr>
          <w:b w:val="0"/>
          <w:i w:val="0"/>
          <w:rFonts w:ascii="Arial" w:hAnsi="Arial" w:eastAsia="Arial" w:cs="Arial"/>
          <w:sz w:val="22"/>
          <w:szCs w:val="22"/>
        </w:rPr>
      </w:r>
      <w:r>
        <w:rPr>
          <w:rFonts w:ascii="Arial" w:hAnsi="Arial" w:eastAsia="Arial" w:cs="Arial"/>
          <w:sz w:val="22"/>
          <w:szCs w:val="22"/>
        </w:rPr>
        <w:t>• Do not treat perspective as opinion, Abstraction Gap or Scale Gap as automatic error, or objectivity as consensus alone.</w:t>
      </w:r>
    </w:p>
    <w:p>
      <w:pPr>
        <w:rPr>
          <w:rFonts w:ascii="Arial" w:hAnsi="Arial" w:eastAsia="Arial" w:cs="Arial"/>
          <w:sz w:val="22"/>
          <w:szCs w:val="22"/>
        </w:rPr>
        <w:widowControl/>
        <w:spacing w:before="0" w:after="20" w:line="240" w:lineRule="auto"/>
        <w:ind w:left="216" w:hanging="144"/>
      </w:pPr>
      <w:r>
        <w:rPr>
          <w:b w:val="0"/>
          <w:i w:val="0"/>
          <w:rFonts w:ascii="Arial" w:hAnsi="Arial" w:eastAsia="Arial" w:cs="Arial"/>
          <w:sz w:val="22"/>
          <w:szCs w:val="22"/>
        </w:rPr>
      </w:r>
      <w:r>
        <w:rPr>
          <w:rFonts w:ascii="Arial" w:hAnsi="Arial" w:eastAsia="Arial" w:cs="Arial"/>
          <w:sz w:val="22"/>
          <w:szCs w:val="22"/>
        </w:rPr>
        <w:t>• Do not treat descriptors as primitives, status substitutes, truth measures, or decorative labels.</w:t>
      </w:r>
    </w:p>
    <w:p>
      <w:pPr>
        <w:rPr>
          <w:rFonts w:ascii="Arial" w:hAnsi="Arial" w:eastAsia="Arial" w:cs="Arial"/>
          <w:sz w:val="22"/>
          <w:szCs w:val="22"/>
        </w:rPr>
        <w:widowControl/>
        <w:spacing w:before="0" w:after="20" w:line="240" w:lineRule="auto"/>
        <w:ind w:left="216" w:hanging="144"/>
      </w:pPr>
      <w:r>
        <w:rPr>
          <w:b w:val="0"/>
          <w:i w:val="0"/>
          <w:rFonts w:ascii="Arial" w:hAnsi="Arial" w:eastAsia="Arial" w:cs="Arial"/>
          <w:sz w:val="22"/>
          <w:szCs w:val="22"/>
        </w:rPr>
      </w:r>
      <w:r>
        <w:rPr>
          <w:rFonts w:ascii="Arial" w:hAnsi="Arial" w:eastAsia="Arial" w:cs="Arial"/>
          <w:sz w:val="22"/>
          <w:szCs w:val="22"/>
        </w:rPr>
        <w:t>• Keep Part 2a terms inherited, Part 1 NTC/BD/IPL terms controlled, and Part 3 unknown-handling downstream.</w:t>
      </w:r>
    </w:p>
    <w:p>
      <w:pPr>
        <w:rPr>
          <w:rFonts w:ascii="Arial" w:hAnsi="Arial" w:eastAsia="Arial" w:cs="Arial"/>
          <w:sz w:val="22"/>
          <w:szCs w:val="22"/>
        </w:rPr>
        <w:widowControl/>
        <w:spacing w:before="0" w:after="20" w:line="240" w:lineRule="auto"/>
        <w:ind w:left="216" w:hanging="144"/>
      </w:pPr>
      <w:r>
        <w:rPr>
          <w:b w:val="0"/>
          <w:i w:val="0"/>
          <w:rFonts w:ascii="Arial" w:hAnsi="Arial" w:eastAsia="Arial" w:cs="Arial"/>
          <w:sz w:val="22"/>
          <w:szCs w:val="22"/>
        </w:rPr>
      </w:r>
      <w:r>
        <w:rPr>
          <w:rFonts w:ascii="Arial" w:hAnsi="Arial" w:eastAsia="Arial" w:cs="Arial"/>
          <w:sz w:val="22"/>
          <w:szCs w:val="22"/>
        </w:rPr>
        <w:t>• State residual and update conditions wherever a discriminator, alignment, comparator, correction, or envelope bound remains incomplete.</w:t>
      </w:r>
    </w:p>
    <w:p>
      <w:pPr>
        <w:rPr>
          <w:rFonts w:ascii="Arial" w:hAnsi="Arial" w:eastAsia="Arial" w:cs="Arial"/>
          <w:sz w:val="22"/>
          <w:szCs w:val="22"/>
        </w:rPr>
        <w:widowControl/>
        <w:spacing w:before="0" w:after="20" w:line="240" w:lineRule="auto"/>
        <w:ind w:left="216" w:hanging="144"/>
      </w:pPr>
      <w:r>
        <w:rPr>
          <w:b w:val="0"/>
          <w:i w:val="0"/>
          <w:rFonts w:ascii="Arial" w:hAnsi="Arial" w:eastAsia="Arial" w:cs="Arial"/>
          <w:sz w:val="22"/>
          <w:szCs w:val="22"/>
        </w:rPr>
        <w:t xml:space="preserve">• This is the reconciled Issue 1 support state. The release manifest distinguishes recalculated paper and support digests from unchanged recorded locks carried forward without byte verification. Any subsequent saved edit requires renewed hashing and downstream source-control reconciliation.</w:t>
      </w:r>
    </w:p>
    <w:p>
      <w:pPr>
        <w:widowControl/>
        <w:rPr>
          <w:rFonts w:ascii="Arial" w:hAnsi="Arial" w:eastAsia="Arial" w:cs="Arial"/>
          <w:sz w:val="22"/>
          <w:szCs w:val="22"/>
        </w:rPr>
      </w:pPr>
    </w:p>
    <w:p>
      <w:pPr>
        <w:widowControl/>
        <w:rPr>
          <w:rFonts w:ascii="Arial" w:hAnsi="Arial" w:eastAsia="Arial" w:cs="Arial"/>
          <w:sz w:val="30"/>
          <w:szCs w:val="30"/>
          <w:b w:val="1"/>
          <w:color w:val="1F4E79"/>
        </w:rPr>
        <w:pStyle w:val="Heading1"/>
        <w:keepNext/>
        <w:keepLines/>
      </w:pPr>
      <w:r>
        <w:rPr>
          <w:rFonts w:ascii="Arial" w:hAnsi="Arial" w:eastAsia="Arial" w:cs="Arial"/>
          <w:sz w:val="30"/>
          <w:szCs w:val="30"/>
          <w:b w:val="1"/>
          <w:color w:val="1F4E79"/>
        </w:rPr>
        <w:t>Part-level consolidation note</w:t>
      </w:r>
    </w:p>
    <w:p>
      <w:pPr>
        <w:widowControl/>
        <w:rPr>
          <w:rFonts w:ascii="Arial" w:hAnsi="Arial" w:eastAsia="Arial" w:cs="Arial"/>
          <w:sz w:val="22"/>
          <w:szCs w:val="22"/>
        </w:rPr>
      </w:pPr>
      <w:r>
        <w:rPr>
          <w:rFonts w:ascii="Arial" w:hAnsi="Arial" w:eastAsia="Arial" w:cs="Arial"/>
          <w:sz w:val="22"/>
          <w:szCs w:val="22"/>
        </w:rPr>
        <w:t xml:space="preserve">Historical consolidation of the separate Part 2a and Part 2b supports is retained. On 23 September 2026, Pass 1 integrated Paper 1c and the ten-paper scope. This Issue 1 reconciliation records the limited integrations in Papers 2, 4a and 4c, refreshes release controls and sharpens the existing Paper 4a anchor. Canonical ownership, primitive architecture and facet thresholds remain unchanged. Verification limits are stated in 0.1; this support pass makes no further paper or formatting-control edits.</w:t>
      </w:r>
    </w:p>
    <w:sectPr w:rsidR="0005754F" w:rsidSect="00034616">
      <w:headerReference w:type="default" r:id="rId8"/>
      <w:footerReference w:type="default" r:id="rId9"/>
      <w:headerReference w:type="first" r:id="rId12"/>
      <w:footerReference w:type="first" r:id="rId13"/>
      <w:headerReference w:type="even" r:id="rId14"/>
      <w:footerReference w:type="even" r:id="rId15"/>
      <w:pgSz w:w="15840" w:h="12240" w:orient="landscape"/>
      <w:pgMar w:top="648" w:right="648" w:bottom="648" w:left="648" w:header="317" w:footer="317"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9457618" w14:textId="77777777" w:rsidR="0005754F" w:rsidRDefault="0005754F">
      <w:pPr>
        <w:spacing w:after="0" w:line="240" w:lineRule="auto"/>
      </w:pPr>
      <w:r>
        <w:separator/>
      </w:r>
    </w:p>
  </w:endnote>
  <w:endnote w:type="continuationSeparator" w:id="0">
    <w:p w14:paraId="18568AA7" w14:textId="77777777" w:rsidR="0005754F" w:rsidRDefault="0005754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MS Gothic">
    <w:altName w:val="ＭＳ ゴシック"/>
    <w:panose1 w:val="020B0609070205080204"/>
    <w:charset w:val="80"/>
    <w:family w:val="modern"/>
    <w:notTrueType/>
    <w:pitch w:val="fixed"/>
    <w:sig w:usb0="00000001" w:usb1="08070000" w:usb2="00000010" w:usb3="00000000" w:csb0="00020000" w:csb1="00000000"/>
  </w:font>
  <w:font w:name="Courier">
    <w:panose1 w:val="02070309020205020404"/>
    <w:charset w:val="00"/>
    <w:family w:val="modern"/>
    <w:pitch w:val="fixed"/>
    <w:sig w:usb0="E0002A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700906" w14:textId="77777777" w:rsidR="00EF7034" w:rsidRDefault="00000000">
    <w:pPr>
      <w:pStyle w:val="Footer"/>
      <w:jc w:val="center"/>
    </w:pPr>
    <w:r>
      <w:rPr>
        <w:rFonts w:ascii="Arial" w:hAnsi="Arial" w:eastAsia="Arial" w:cs="Arial"/>
        <w:sz w:val="18"/>
        <w:szCs w:val="18"/>
      </w:rPr>
      <w:t>Secondary to canonical papers. Primary papers govern technical use.</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p>
</w:ftr>
</file>

<file path=word/footer3.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4D436A4" w14:textId="77777777" w:rsidR="0005754F" w:rsidRDefault="0005754F">
      <w:pPr>
        <w:spacing w:after="0" w:line="240" w:lineRule="auto"/>
      </w:pPr>
      <w:r>
        <w:separator/>
      </w:r>
    </w:p>
  </w:footnote>
  <w:footnote w:type="continuationSeparator" w:id="0">
    <w:p w14:paraId="76E41397" w14:textId="77777777" w:rsidR="0005754F" w:rsidRDefault="0005754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69CCBD" w14:textId="77777777" w:rsidR="00EF7034" w:rsidRDefault="00000000">
    <w:pPr>
      <w:pStyle w:val="Header"/>
      <w:spacing w:after="0"/>
      <w:jc w:val="center"/>
    </w:pPr>
    <w:r>
      <w:rPr>
        <w:rFonts w:ascii="Arial" w:hAnsi="Arial" w:eastAsia="Arial" w:cs="Arial"/>
        <w:sz w:val="18"/>
        <w:szCs w:val="18"/>
      </w:rPr>
      <w:t>Part 2 (2a-2b) | P2-2A2B-SD01-CONCEPT-COMPRESSION-MAP | Issue 1</w:t>
    </w:r>
  </w:p>
  <w:p>
    <w:pPr>
      <w:jc w:val="center"/>
    </w:pPr>
    <w:r>
      <w:rPr>
        <w:rFonts w:ascii="Arial" w:hAnsi="Arial" w:eastAsia="Arial" w:cs="Arial"/>
        <w:sz w:val="18"/>
        <w:szCs w:val="18"/>
      </w:rPr>
      <w:t>Secondary to canonical papers. Primary papers govern technical use.</w:t>
    </w:r>
  </w:p>
</w:hdr>
</file>

<file path=word/header2.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p>
</w:hdr>
</file>

<file path=word/header3.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364258168">
    <w:abstractNumId w:val="8"/>
  </w:num>
  <w:num w:numId="2" w16cid:durableId="736365209">
    <w:abstractNumId w:val="6"/>
  </w:num>
  <w:num w:numId="3" w16cid:durableId="395981582">
    <w:abstractNumId w:val="5"/>
  </w:num>
  <w:num w:numId="4" w16cid:durableId="1554268957">
    <w:abstractNumId w:val="4"/>
  </w:num>
  <w:num w:numId="5" w16cid:durableId="924723056">
    <w:abstractNumId w:val="7"/>
  </w:num>
  <w:num w:numId="6" w16cid:durableId="952172614">
    <w:abstractNumId w:val="3"/>
  </w:num>
  <w:num w:numId="7" w16cid:durableId="1676032037">
    <w:abstractNumId w:val="2"/>
  </w:num>
  <w:num w:numId="8" w16cid:durableId="807862416">
    <w:abstractNumId w:val="1"/>
  </w:num>
  <w:num w:numId="9" w16cid:durableId="162234435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6"/>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5754F"/>
    <w:rsid w:val="0006063C"/>
    <w:rsid w:val="0015074B"/>
    <w:rsid w:val="0029639D"/>
    <w:rsid w:val="00326F90"/>
    <w:rsid w:val="00724B39"/>
    <w:rsid w:val="00AA1D8D"/>
    <w:rsid w:val="00B47730"/>
    <w:rsid w:val="00B70BD0"/>
    <w:rsid w:val="00CB0664"/>
    <w:rsid w:val="00EF703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0FC6B159"/>
  <w14:defaultImageDpi w14:val="300"/>
  <w15:docId w15:val="{4759FA1C-43AE-3C4B-9D90-F62AB7D940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60" w:line="252" w:lineRule="auto"/>
    </w:pPr>
    <w:rPr>
      <w:rFonts w:ascii="Arial" w:hAnsi="Arial" w:eastAsia="Arial" w:cs="Arial"/>
      <w:sz w:val="22"/>
      <w:szCs w:val="22"/>
    </w:rPr>
  </w:style>
  <w:style w:type="paragraph" w:styleId="Heading1">
    <w:name w:val="heading 1"/>
    <w:basedOn w:val="Normal"/>
    <w:next w:val="Normal"/>
    <w:link w:val="Heading1Char"/>
    <w:uiPriority w:val="9"/>
    <w:qFormat/>
    <w:rsid w:val="00FC693F"/>
    <w:pPr>
      <w:keepNext/>
      <w:keepLines/>
      <w:spacing w:before="240" w:after="0"/>
      <w:outlineLvl w:val="0"/>
    </w:pPr>
    <w:rPr>
      <w:b/>
      <w:bCs/>
      <w:color w:val="1F4E79"/>
      <w:rFonts w:ascii="Arial" w:hAnsi="Arial" w:eastAsia="Arial" w:cs="Arial"/>
      <w:sz w:val="30"/>
      <w:szCs w:val="30"/>
    </w:rPr>
  </w:style>
  <w:style w:type="paragraph" w:styleId="Heading2">
    <w:name w:val="heading 2"/>
    <w:basedOn w:val="Normal"/>
    <w:next w:val="Normal"/>
    <w:link w:val="Heading2Char"/>
    <w:uiPriority w:val="9"/>
    <w:unhideWhenUsed/>
    <w:qFormat/>
    <w:rsid w:val="00FC693F"/>
    <w:pPr>
      <w:keepNext/>
      <w:keepLines/>
      <w:spacing w:before="120" w:after="0"/>
      <w:outlineLvl w:val="1"/>
    </w:pPr>
    <w:rPr>
      <w:b/>
      <w:bCs/>
      <w:color w:val="1F4E79"/>
      <w:rFonts w:ascii="Arial" w:hAnsi="Arial" w:eastAsia="Arial" w:cs="Arial"/>
      <w:sz w:val="24"/>
      <w:szCs w:val="24"/>
    </w:rPr>
  </w:style>
  <w:style w:type="paragraph" w:styleId="Heading3">
    <w:name w:val="heading 3"/>
    <w:basedOn w:val="Normal"/>
    <w:next w:val="Normal"/>
    <w:link w:val="Heading3Char"/>
    <w:uiPriority w:val="9"/>
    <w:unhideWhenUsed/>
    <w:qFormat/>
    <w:rsid w:val="00FC693F"/>
    <w:pPr>
      <w:keepNext/>
      <w:keepLines/>
      <w:spacing w:before="120" w:after="0"/>
      <w:outlineLvl w:val="2"/>
    </w:pPr>
    <w:rPr>
      <w:b/>
      <w:bCs/>
      <w:color w:val="1F4E79"/>
      <w:rFonts w:ascii="Arial" w:hAnsi="Arial" w:eastAsia="Arial" w:cs="Arial"/>
      <w:sz w:val="22"/>
      <w:szCs w:val="22"/>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b/>
      <w:bCs/>
      <w:i/>
      <w:iCs/>
      <w:color w:val="4F81BD" w:themeColor="accent1"/>
      <w:rFonts w:ascii="Arial" w:hAnsi="Arial" w:eastAsia="Arial" w:cs="Arial"/>
      <w:sz w:val="22"/>
      <w:szCs w:val="22"/>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color w:val="243F60" w:themeColor="accent1" w:themeShade="7F"/>
      <w:rFonts w:ascii="Arial" w:hAnsi="Arial" w:eastAsia="Arial" w:cs="Arial"/>
      <w:sz w:val="22"/>
      <w:szCs w:val="22"/>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i/>
      <w:iCs/>
      <w:color w:val="243F60" w:themeColor="accent1" w:themeShade="7F"/>
      <w:rFonts w:ascii="Arial" w:hAnsi="Arial" w:eastAsia="Arial" w:cs="Arial"/>
      <w:sz w:val="22"/>
      <w:szCs w:val="22"/>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i/>
      <w:iCs/>
      <w:color w:val="404040" w:themeColor="text1" w:themeTint="BF"/>
      <w:rFonts w:ascii="Arial" w:hAnsi="Arial" w:eastAsia="Arial" w:cs="Arial"/>
      <w:sz w:val="22"/>
      <w:szCs w:val="22"/>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color w:val="4F81BD" w:themeColor="accent1"/>
      <w:rFonts w:ascii="Arial" w:hAnsi="Arial" w:eastAsia="Arial" w:cs="Arial"/>
      <w:sz w:val="22"/>
      <w:szCs w:val="22"/>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i/>
      <w:iCs/>
      <w:color w:val="404040" w:themeColor="text1" w:themeTint="BF"/>
      <w:rFonts w:ascii="Arial" w:hAnsi="Arial" w:eastAsia="Arial" w:cs="Arial"/>
      <w:sz w:val="22"/>
      <w:szCs w:val="22"/>
    </w:rPr>
  </w:style>
  <w:style w:type="character" w:default="1" w:styleId="DefaultParagraphFont">
    <w:rPr>
      <w:rFonts w:ascii="Arial" w:hAnsi="Arial" w:eastAsia="Arial" w:cs="Arial"/>
      <w:sz w:val="22"/>
      <w:szCs w:val="22"/>
    </w:rPr>
    <w:name w:val="Default Paragraph Font"/>
    <w:uiPriority w:val="1"/>
    <w:semiHidden/>
    <w:unhideWhenUsed/>
  </w:style>
  <w:style w:type="table" w:default="1" w:styleId="TableNormal">
    <w:rPr>
      <w:rFonts w:ascii="Arial" w:hAnsi="Arial" w:eastAsia="Arial" w:cs="Arial"/>
      <w:sz w:val="22"/>
      <w:szCs w:val="22"/>
    </w:rPr>
    <w:name w:val="Normal Table"/>
    <w:uiPriority w:val="99"/>
    <w:semiHidden/>
    <w:unhideWhenUsed/>
    <w:tblPr>
      <w:tblInd w:w="0" w:type="dxa"/>
      <w:tblCellMar>
        <w:top w:w="0" w:type="dxa"/>
        <w:left w:w="108" w:type="dxa"/>
        <w:bottom w:w="0" w:type="dxa"/>
        <w:right w:w="108" w:type="dxa"/>
      </w:tblCellMar>
    </w:tblPr>
  </w:style>
  <w:style w:type="numbering" w:default="1" w:styleId="NoList">
    <w:rPr>
      <w:rFonts w:ascii="Arial" w:hAnsi="Arial" w:eastAsia="Arial" w:cs="Arial"/>
      <w:sz w:val="22"/>
      <w:szCs w:val="22"/>
    </w:rPr>
    <w:name w:val="No List"/>
    <w:uiPriority w:val="99"/>
    <w:semiHidden/>
    <w:unhideWhenUsed/>
  </w:style>
  <w:style w:type="paragraph" w:styleId="Header">
    <w:rPr>
      <w:rFonts w:ascii="Arial" w:hAnsi="Arial" w:eastAsia="Arial" w:cs="Arial"/>
      <w:sz w:val="18"/>
      <w:szCs w:val="18"/>
    </w:rP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rPr>
      <w:rFonts w:ascii="Arial" w:hAnsi="Arial" w:eastAsia="Arial" w:cs="Arial"/>
      <w:sz w:val="22"/>
      <w:szCs w:val="22"/>
    </w:rPr>
    <w:name w:val="Header Char"/>
    <w:basedOn w:val="DefaultParagraphFont"/>
    <w:link w:val="Header"/>
    <w:uiPriority w:val="99"/>
    <w:rsid w:val="00E618BF"/>
  </w:style>
  <w:style w:type="paragraph" w:styleId="Footer">
    <w:rPr>
      <w:rFonts w:ascii="Arial" w:hAnsi="Arial" w:eastAsia="Arial" w:cs="Arial"/>
      <w:sz w:val="18"/>
      <w:szCs w:val="18"/>
    </w:rP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rPr>
      <w:rFonts w:ascii="Arial" w:hAnsi="Arial" w:eastAsia="Arial" w:cs="Arial"/>
      <w:sz w:val="22"/>
      <w:szCs w:val="22"/>
    </w:rPr>
    <w:name w:val="Footer Char"/>
    <w:basedOn w:val="DefaultParagraphFont"/>
    <w:link w:val="Footer"/>
    <w:uiPriority w:val="99"/>
    <w:rsid w:val="00E618BF"/>
  </w:style>
  <w:style w:type="paragraph" w:styleId="NoSpacing">
    <w:rPr>
      <w:rFonts w:ascii="Arial" w:hAnsi="Arial" w:eastAsia="Arial" w:cs="Arial"/>
      <w:sz w:val="22"/>
      <w:szCs w:val="22"/>
    </w:rPr>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b/>
      <w:bCs/>
      <w:color w:val="365F91" w:themeColor="accent1" w:themeShade="BF"/>
      <w:rFonts w:ascii="Arial" w:hAnsi="Arial" w:eastAsia="Arial" w:cs="Arial"/>
      <w:sz w:val="22"/>
      <w:szCs w:val="22"/>
    </w:rPr>
  </w:style>
  <w:style w:type="character" w:customStyle="1" w:styleId="Heading2Char">
    <w:name w:val="Heading 2 Char"/>
    <w:basedOn w:val="DefaultParagraphFont"/>
    <w:link w:val="Heading2"/>
    <w:uiPriority w:val="9"/>
    <w:rsid w:val="00FC693F"/>
    <w:rPr>
      <w:b/>
      <w:bCs/>
      <w:color w:val="4F81BD" w:themeColor="accent1"/>
      <w:rFonts w:ascii="Arial" w:hAnsi="Arial" w:eastAsia="Arial" w:cs="Arial"/>
      <w:sz w:val="22"/>
      <w:szCs w:val="22"/>
    </w:rPr>
  </w:style>
  <w:style w:type="character" w:customStyle="1" w:styleId="Heading3Char">
    <w:name w:val="Heading 3 Char"/>
    <w:basedOn w:val="DefaultParagraphFont"/>
    <w:link w:val="Heading3"/>
    <w:uiPriority w:val="9"/>
    <w:rsid w:val="00FC693F"/>
    <w:rPr>
      <w:b/>
      <w:bCs/>
      <w:color w:val="4F81BD" w:themeColor="accent1"/>
      <w:rFonts w:ascii="Arial" w:hAnsi="Arial" w:eastAsia="Arial" w:cs="Arial"/>
      <w:sz w:val="22"/>
      <w:szCs w:val="22"/>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b/>
      <w:color w:val="17365D" w:themeColor="text2" w:themeShade="BF"/>
      <w:spacing w:val="5"/>
      <w:kern w:val="28"/>
      <w:rFonts w:ascii="Arial" w:hAnsi="Arial" w:eastAsia="Arial" w:cs="Arial"/>
      <w:sz w:val="40"/>
      <w:szCs w:val="40"/>
    </w:rPr>
  </w:style>
  <w:style w:type="character" w:customStyle="1" w:styleId="TitleChar">
    <w:name w:val="Title Char"/>
    <w:basedOn w:val="DefaultParagraphFont"/>
    <w:link w:val="Title"/>
    <w:uiPriority w:val="10"/>
    <w:rsid w:val="00FC693F"/>
    <w:rPr>
      <w:color w:val="17365D" w:themeColor="text2" w:themeShade="BF"/>
      <w:spacing w:val="5"/>
      <w:kern w:val="28"/>
      <w:rFonts w:ascii="Arial" w:hAnsi="Arial" w:eastAsia="Arial" w:cs="Arial"/>
      <w:sz w:val="22"/>
      <w:szCs w:val="22"/>
    </w:rPr>
  </w:style>
  <w:style w:type="paragraph" w:styleId="Subtitle">
    <w:name w:val="Subtitle"/>
    <w:basedOn w:val="Normal"/>
    <w:next w:val="Normal"/>
    <w:link w:val="SubtitleChar"/>
    <w:uiPriority w:val="11"/>
    <w:qFormat/>
    <w:rsid w:val="00FC693F"/>
    <w:pPr>
      <w:numPr>
        <w:ilvl w:val="1"/>
      </w:numPr>
    </w:pPr>
    <w:rPr>
      <w:i/>
      <w:iCs/>
      <w:color w:val="4F81BD" w:themeColor="accent1"/>
      <w:spacing w:val="15"/>
      <w:rFonts w:ascii="Arial" w:hAnsi="Arial" w:eastAsia="Arial" w:cs="Arial"/>
      <w:sz w:val="22"/>
      <w:szCs w:val="22"/>
    </w:rPr>
  </w:style>
  <w:style w:type="character" w:customStyle="1" w:styleId="SubtitleChar">
    <w:name w:val="Subtitle Char"/>
    <w:basedOn w:val="DefaultParagraphFont"/>
    <w:link w:val="Subtitle"/>
    <w:uiPriority w:val="11"/>
    <w:rsid w:val="00FC693F"/>
    <w:rPr>
      <w:i/>
      <w:iCs/>
      <w:color w:val="4F81BD" w:themeColor="accent1"/>
      <w:spacing w:val="15"/>
      <w:rFonts w:ascii="Arial" w:hAnsi="Arial" w:eastAsia="Arial" w:cs="Arial"/>
      <w:sz w:val="22"/>
      <w:szCs w:val="22"/>
    </w:rPr>
  </w:style>
  <w:style w:type="paragraph" w:styleId="ListParagraph">
    <w:rPr>
      <w:rFonts w:ascii="Arial" w:hAnsi="Arial" w:eastAsia="Arial" w:cs="Arial"/>
      <w:sz w:val="22"/>
      <w:szCs w:val="22"/>
    </w:rPr>
    <w:name w:val="List Paragraph"/>
    <w:basedOn w:val="Normal"/>
    <w:uiPriority w:val="34"/>
    <w:qFormat/>
    <w:rsid w:val="00FC693F"/>
    <w:pPr>
      <w:ind w:left="720"/>
      <w:contextualSpacing/>
    </w:pPr>
  </w:style>
  <w:style w:type="paragraph" w:styleId="BodyText">
    <w:rPr>
      <w:rFonts w:ascii="Arial" w:hAnsi="Arial" w:eastAsia="Arial" w:cs="Arial"/>
      <w:sz w:val="22"/>
      <w:szCs w:val="22"/>
    </w:rPr>
    <w:name w:val="Body Text"/>
    <w:basedOn w:val="Normal"/>
    <w:link w:val="BodyTextChar"/>
    <w:uiPriority w:val="99"/>
    <w:unhideWhenUsed/>
    <w:rsid w:val="00AA1D8D"/>
    <w:pPr>
      <w:spacing w:after="120"/>
    </w:pPr>
  </w:style>
  <w:style w:type="character" w:customStyle="1" w:styleId="BodyTextChar">
    <w:rPr>
      <w:rFonts w:ascii="Arial" w:hAnsi="Arial" w:eastAsia="Arial" w:cs="Arial"/>
      <w:sz w:val="22"/>
      <w:szCs w:val="22"/>
    </w:rPr>
    <w:name w:val="Body Text Char"/>
    <w:basedOn w:val="DefaultParagraphFont"/>
    <w:link w:val="BodyText"/>
    <w:uiPriority w:val="99"/>
    <w:rsid w:val="00AA1D8D"/>
  </w:style>
  <w:style w:type="paragraph" w:styleId="BodyText2">
    <w:rPr>
      <w:rFonts w:ascii="Arial" w:hAnsi="Arial" w:eastAsia="Arial" w:cs="Arial"/>
      <w:sz w:val="22"/>
      <w:szCs w:val="22"/>
    </w:rPr>
    <w:name w:val="Body Text 2"/>
    <w:basedOn w:val="Normal"/>
    <w:link w:val="BodyText2Char"/>
    <w:uiPriority w:val="99"/>
    <w:unhideWhenUsed/>
    <w:rsid w:val="00AA1D8D"/>
    <w:pPr>
      <w:spacing w:after="120" w:line="480" w:lineRule="auto"/>
    </w:pPr>
  </w:style>
  <w:style w:type="character" w:customStyle="1" w:styleId="BodyText2Char">
    <w:rPr>
      <w:rFonts w:ascii="Arial" w:hAnsi="Arial" w:eastAsia="Arial" w:cs="Arial"/>
      <w:sz w:val="22"/>
      <w:szCs w:val="22"/>
    </w:rP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rFonts w:ascii="Arial" w:hAnsi="Arial" w:eastAsia="Arial" w:cs="Arial"/>
      <w:sz w:val="22"/>
      <w:szCs w:val="22"/>
    </w:rPr>
  </w:style>
  <w:style w:type="character" w:customStyle="1" w:styleId="BodyText3Char">
    <w:name w:val="Body Text 3 Char"/>
    <w:basedOn w:val="DefaultParagraphFont"/>
    <w:link w:val="BodyText3"/>
    <w:uiPriority w:val="99"/>
    <w:rsid w:val="00AA1D8D"/>
    <w:rPr>
      <w:rFonts w:ascii="Arial" w:hAnsi="Arial" w:eastAsia="Arial" w:cs="Arial"/>
      <w:sz w:val="22"/>
      <w:szCs w:val="22"/>
    </w:rPr>
  </w:style>
  <w:style w:type="paragraph" w:styleId="List">
    <w:rPr>
      <w:rFonts w:ascii="Arial" w:hAnsi="Arial" w:eastAsia="Arial" w:cs="Arial"/>
      <w:sz w:val="22"/>
      <w:szCs w:val="22"/>
    </w:rPr>
    <w:name w:val="List"/>
    <w:basedOn w:val="Normal"/>
    <w:uiPriority w:val="99"/>
    <w:unhideWhenUsed/>
    <w:rsid w:val="00AA1D8D"/>
    <w:pPr>
      <w:ind w:left="360" w:hanging="360"/>
      <w:contextualSpacing/>
    </w:pPr>
  </w:style>
  <w:style w:type="paragraph" w:styleId="List2">
    <w:rPr>
      <w:rFonts w:ascii="Arial" w:hAnsi="Arial" w:eastAsia="Arial" w:cs="Arial"/>
      <w:sz w:val="22"/>
      <w:szCs w:val="22"/>
    </w:rPr>
    <w:name w:val="List 2"/>
    <w:basedOn w:val="Normal"/>
    <w:uiPriority w:val="99"/>
    <w:unhideWhenUsed/>
    <w:rsid w:val="00326F90"/>
    <w:pPr>
      <w:ind w:left="720" w:hanging="360"/>
      <w:contextualSpacing/>
    </w:pPr>
  </w:style>
  <w:style w:type="paragraph" w:styleId="List3">
    <w:rPr>
      <w:rFonts w:ascii="Arial" w:hAnsi="Arial" w:eastAsia="Arial" w:cs="Arial"/>
      <w:sz w:val="22"/>
      <w:szCs w:val="22"/>
    </w:rPr>
    <w:name w:val="List 3"/>
    <w:basedOn w:val="Normal"/>
    <w:uiPriority w:val="99"/>
    <w:unhideWhenUsed/>
    <w:rsid w:val="00326F90"/>
    <w:pPr>
      <w:ind w:left="1080" w:hanging="360"/>
      <w:contextualSpacing/>
    </w:pPr>
  </w:style>
  <w:style w:type="paragraph" w:styleId="ListBullet">
    <w:rPr>
      <w:rFonts w:ascii="Arial" w:hAnsi="Arial" w:eastAsia="Arial" w:cs="Arial"/>
      <w:sz w:val="22"/>
      <w:szCs w:val="22"/>
    </w:rPr>
    <w:name w:val="List Bullet"/>
    <w:basedOn w:val="Normal"/>
    <w:uiPriority w:val="99"/>
    <w:unhideWhenUsed/>
    <w:rsid w:val="00326F90"/>
    <w:pPr>
      <w:numPr>
        <w:numId w:val="1"/>
      </w:numPr>
      <w:contextualSpacing/>
    </w:pPr>
  </w:style>
  <w:style w:type="paragraph" w:styleId="ListBullet2">
    <w:rPr>
      <w:rFonts w:ascii="Arial" w:hAnsi="Arial" w:eastAsia="Arial" w:cs="Arial"/>
      <w:sz w:val="22"/>
      <w:szCs w:val="22"/>
    </w:rPr>
    <w:name w:val="List Bullet 2"/>
    <w:basedOn w:val="Normal"/>
    <w:uiPriority w:val="99"/>
    <w:unhideWhenUsed/>
    <w:rsid w:val="00326F90"/>
    <w:pPr>
      <w:numPr>
        <w:numId w:val="2"/>
      </w:numPr>
      <w:contextualSpacing/>
    </w:pPr>
  </w:style>
  <w:style w:type="paragraph" w:styleId="ListBullet3">
    <w:rPr>
      <w:rFonts w:ascii="Arial" w:hAnsi="Arial" w:eastAsia="Arial" w:cs="Arial"/>
      <w:sz w:val="22"/>
      <w:szCs w:val="22"/>
    </w:rPr>
    <w:name w:val="List Bullet 3"/>
    <w:basedOn w:val="Normal"/>
    <w:uiPriority w:val="99"/>
    <w:unhideWhenUsed/>
    <w:rsid w:val="00326F90"/>
    <w:pPr>
      <w:numPr>
        <w:numId w:val="3"/>
      </w:numPr>
      <w:contextualSpacing/>
    </w:pPr>
  </w:style>
  <w:style w:type="paragraph" w:styleId="ListNumber">
    <w:rPr>
      <w:rFonts w:ascii="Arial" w:hAnsi="Arial" w:eastAsia="Arial" w:cs="Arial"/>
      <w:sz w:val="22"/>
      <w:szCs w:val="22"/>
    </w:rPr>
    <w:name w:val="List Number"/>
    <w:basedOn w:val="Normal"/>
    <w:uiPriority w:val="99"/>
    <w:unhideWhenUsed/>
    <w:rsid w:val="00326F90"/>
    <w:pPr>
      <w:numPr>
        <w:numId w:val="5"/>
      </w:numPr>
      <w:contextualSpacing/>
    </w:pPr>
  </w:style>
  <w:style w:type="paragraph" w:styleId="ListNumber2">
    <w:rPr>
      <w:rFonts w:ascii="Arial" w:hAnsi="Arial" w:eastAsia="Arial" w:cs="Arial"/>
      <w:sz w:val="22"/>
      <w:szCs w:val="22"/>
    </w:rPr>
    <w:name w:val="List Number 2"/>
    <w:basedOn w:val="Normal"/>
    <w:uiPriority w:val="99"/>
    <w:unhideWhenUsed/>
    <w:rsid w:val="0029639D"/>
    <w:pPr>
      <w:numPr>
        <w:numId w:val="6"/>
      </w:numPr>
      <w:contextualSpacing/>
    </w:pPr>
  </w:style>
  <w:style w:type="paragraph" w:styleId="ListNumber3">
    <w:rPr>
      <w:rFonts w:ascii="Arial" w:hAnsi="Arial" w:eastAsia="Arial" w:cs="Arial"/>
      <w:sz w:val="22"/>
      <w:szCs w:val="22"/>
    </w:rPr>
    <w:name w:val="List Number 3"/>
    <w:basedOn w:val="Normal"/>
    <w:uiPriority w:val="99"/>
    <w:unhideWhenUsed/>
    <w:rsid w:val="0029639D"/>
    <w:pPr>
      <w:numPr>
        <w:numId w:val="7"/>
      </w:numPr>
      <w:contextualSpacing/>
    </w:pPr>
  </w:style>
  <w:style w:type="paragraph" w:styleId="ListContinue">
    <w:rPr>
      <w:rFonts w:ascii="Arial" w:hAnsi="Arial" w:eastAsia="Arial" w:cs="Arial"/>
      <w:sz w:val="22"/>
      <w:szCs w:val="22"/>
    </w:rPr>
    <w:name w:val="List Continue"/>
    <w:basedOn w:val="Normal"/>
    <w:uiPriority w:val="99"/>
    <w:unhideWhenUsed/>
    <w:rsid w:val="0029639D"/>
    <w:pPr>
      <w:spacing w:after="120"/>
      <w:ind w:left="360"/>
      <w:contextualSpacing/>
    </w:pPr>
  </w:style>
  <w:style w:type="paragraph" w:styleId="ListContinue2">
    <w:rPr>
      <w:rFonts w:ascii="Arial" w:hAnsi="Arial" w:eastAsia="Arial" w:cs="Arial"/>
      <w:sz w:val="22"/>
      <w:szCs w:val="22"/>
    </w:rPr>
    <w:name w:val="List Continue 2"/>
    <w:basedOn w:val="Normal"/>
    <w:uiPriority w:val="99"/>
    <w:unhideWhenUsed/>
    <w:rsid w:val="0029639D"/>
    <w:pPr>
      <w:spacing w:after="120"/>
      <w:ind w:left="720"/>
      <w:contextualSpacing/>
    </w:pPr>
  </w:style>
  <w:style w:type="paragraph" w:styleId="ListContinue3">
    <w:rPr>
      <w:rFonts w:ascii="Arial" w:hAnsi="Arial" w:eastAsia="Arial" w:cs="Arial"/>
      <w:sz w:val="22"/>
      <w:szCs w:val="22"/>
    </w:rPr>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Arial" w:hAnsi="Arial" w:eastAsia="Arial" w:cs="Arial"/>
      <w:sz w:val="22"/>
      <w:szCs w:val="22"/>
    </w:rPr>
  </w:style>
  <w:style w:type="character" w:customStyle="1" w:styleId="MacroTextChar">
    <w:name w:val="Macro Text Char"/>
    <w:basedOn w:val="DefaultParagraphFont"/>
    <w:link w:val="MacroText"/>
    <w:uiPriority w:val="99"/>
    <w:rsid w:val="0029639D"/>
    <w:rPr>
      <w:rFonts w:ascii="Arial" w:hAnsi="Arial" w:eastAsia="Arial" w:cs="Arial"/>
      <w:sz w:val="22"/>
      <w:szCs w:val="22"/>
    </w:rPr>
  </w:style>
  <w:style w:type="paragraph" w:styleId="Quote">
    <w:name w:val="Quote"/>
    <w:basedOn w:val="Normal"/>
    <w:next w:val="Normal"/>
    <w:link w:val="QuoteChar"/>
    <w:uiPriority w:val="29"/>
    <w:qFormat/>
    <w:rsid w:val="00FC693F"/>
    <w:rPr>
      <w:i/>
      <w:iCs/>
      <w:color w:val="000000" w:themeColor="text1"/>
      <w:rFonts w:ascii="Arial" w:hAnsi="Arial" w:eastAsia="Arial" w:cs="Arial"/>
      <w:sz w:val="22"/>
      <w:szCs w:val="22"/>
    </w:rPr>
  </w:style>
  <w:style w:type="character" w:customStyle="1" w:styleId="QuoteChar">
    <w:name w:val="Quote Char"/>
    <w:basedOn w:val="DefaultParagraphFont"/>
    <w:link w:val="Quote"/>
    <w:uiPriority w:val="29"/>
    <w:rsid w:val="00FC693F"/>
    <w:rPr>
      <w:i/>
      <w:iCs/>
      <w:color w:val="000000" w:themeColor="text1"/>
      <w:rFonts w:ascii="Arial" w:hAnsi="Arial" w:eastAsia="Arial" w:cs="Arial"/>
      <w:sz w:val="22"/>
      <w:szCs w:val="22"/>
    </w:rPr>
  </w:style>
  <w:style w:type="character" w:customStyle="1" w:styleId="Heading4Char">
    <w:name w:val="Heading 4 Char"/>
    <w:basedOn w:val="DefaultParagraphFont"/>
    <w:link w:val="Heading4"/>
    <w:uiPriority w:val="9"/>
    <w:semiHidden/>
    <w:rsid w:val="00FC693F"/>
    <w:rPr>
      <w:b/>
      <w:bCs/>
      <w:i/>
      <w:iCs/>
      <w:color w:val="4F81BD" w:themeColor="accent1"/>
      <w:rFonts w:ascii="Arial" w:hAnsi="Arial" w:eastAsia="Arial" w:cs="Arial"/>
      <w:sz w:val="22"/>
      <w:szCs w:val="22"/>
    </w:rPr>
  </w:style>
  <w:style w:type="character" w:customStyle="1" w:styleId="Heading5Char">
    <w:name w:val="Heading 5 Char"/>
    <w:basedOn w:val="DefaultParagraphFont"/>
    <w:link w:val="Heading5"/>
    <w:uiPriority w:val="9"/>
    <w:semiHidden/>
    <w:rsid w:val="00FC693F"/>
    <w:rPr>
      <w:color w:val="243F60" w:themeColor="accent1" w:themeShade="7F"/>
      <w:rFonts w:ascii="Arial" w:hAnsi="Arial" w:eastAsia="Arial" w:cs="Arial"/>
      <w:sz w:val="22"/>
      <w:szCs w:val="22"/>
    </w:rPr>
  </w:style>
  <w:style w:type="character" w:customStyle="1" w:styleId="Heading6Char">
    <w:name w:val="Heading 6 Char"/>
    <w:basedOn w:val="DefaultParagraphFont"/>
    <w:link w:val="Heading6"/>
    <w:uiPriority w:val="9"/>
    <w:semiHidden/>
    <w:rsid w:val="00FC693F"/>
    <w:rPr>
      <w:i/>
      <w:iCs/>
      <w:color w:val="243F60" w:themeColor="accent1" w:themeShade="7F"/>
      <w:rFonts w:ascii="Arial" w:hAnsi="Arial" w:eastAsia="Arial" w:cs="Arial"/>
      <w:sz w:val="22"/>
      <w:szCs w:val="22"/>
    </w:rPr>
  </w:style>
  <w:style w:type="character" w:customStyle="1" w:styleId="Heading7Char">
    <w:name w:val="Heading 7 Char"/>
    <w:basedOn w:val="DefaultParagraphFont"/>
    <w:link w:val="Heading7"/>
    <w:uiPriority w:val="9"/>
    <w:semiHidden/>
    <w:rsid w:val="00FC693F"/>
    <w:rPr>
      <w:i/>
      <w:iCs/>
      <w:color w:val="404040" w:themeColor="text1" w:themeTint="BF"/>
      <w:rFonts w:ascii="Arial" w:hAnsi="Arial" w:eastAsia="Arial" w:cs="Arial"/>
      <w:sz w:val="22"/>
      <w:szCs w:val="22"/>
    </w:rPr>
  </w:style>
  <w:style w:type="character" w:customStyle="1" w:styleId="Heading8Char">
    <w:name w:val="Heading 8 Char"/>
    <w:basedOn w:val="DefaultParagraphFont"/>
    <w:link w:val="Heading8"/>
    <w:uiPriority w:val="9"/>
    <w:semiHidden/>
    <w:rsid w:val="00FC693F"/>
    <w:rPr>
      <w:color w:val="4F81BD" w:themeColor="accent1"/>
      <w:rFonts w:ascii="Arial" w:hAnsi="Arial" w:eastAsia="Arial" w:cs="Arial"/>
      <w:sz w:val="22"/>
      <w:szCs w:val="22"/>
    </w:rPr>
  </w:style>
  <w:style w:type="character" w:customStyle="1" w:styleId="Heading9Char">
    <w:name w:val="Heading 9 Char"/>
    <w:basedOn w:val="DefaultParagraphFont"/>
    <w:link w:val="Heading9"/>
    <w:uiPriority w:val="9"/>
    <w:semiHidden/>
    <w:rsid w:val="00FC693F"/>
    <w:rPr>
      <w:i/>
      <w:iCs/>
      <w:color w:val="404040" w:themeColor="text1" w:themeTint="BF"/>
      <w:rFonts w:ascii="Arial" w:hAnsi="Arial" w:eastAsia="Arial" w:cs="Arial"/>
      <w:sz w:val="22"/>
      <w:szCs w:val="22"/>
    </w:rPr>
  </w:style>
  <w:style w:type="paragraph" w:styleId="Caption">
    <w:name w:val="caption"/>
    <w:basedOn w:val="Normal"/>
    <w:next w:val="Normal"/>
    <w:uiPriority w:val="35"/>
    <w:semiHidden/>
    <w:unhideWhenUsed/>
    <w:qFormat/>
    <w:rsid w:val="00FC693F"/>
    <w:pPr>
      <w:spacing w:line="240" w:lineRule="auto"/>
    </w:pPr>
    <w:rPr>
      <w:b/>
      <w:bCs/>
      <w:color w:val="4F81BD" w:themeColor="accent1"/>
      <w:rFonts w:ascii="Arial" w:hAnsi="Arial" w:eastAsia="Arial" w:cs="Arial"/>
      <w:sz w:val="22"/>
      <w:szCs w:val="22"/>
    </w:rPr>
  </w:style>
  <w:style w:type="character" w:styleId="Strong">
    <w:name w:val="Strong"/>
    <w:basedOn w:val="DefaultParagraphFont"/>
    <w:uiPriority w:val="22"/>
    <w:qFormat/>
    <w:rsid w:val="00FC693F"/>
    <w:rPr>
      <w:b/>
      <w:bCs/>
      <w:rFonts w:ascii="Arial" w:hAnsi="Arial" w:eastAsia="Arial" w:cs="Arial"/>
      <w:sz w:val="22"/>
      <w:szCs w:val="22"/>
    </w:rPr>
  </w:style>
  <w:style w:type="character" w:styleId="Emphasis">
    <w:name w:val="Emphasis"/>
    <w:basedOn w:val="DefaultParagraphFont"/>
    <w:uiPriority w:val="20"/>
    <w:qFormat/>
    <w:rsid w:val="00FC693F"/>
    <w:rPr>
      <w:i/>
      <w:iCs/>
      <w:rFonts w:ascii="Arial" w:hAnsi="Arial" w:eastAsia="Arial" w:cs="Arial"/>
      <w:sz w:val="22"/>
      <w:szCs w:val="22"/>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Fonts w:ascii="Arial" w:hAnsi="Arial" w:eastAsia="Arial" w:cs="Arial"/>
      <w:sz w:val="22"/>
      <w:szCs w:val="22"/>
    </w:rPr>
  </w:style>
  <w:style w:type="character" w:customStyle="1" w:styleId="IntenseQuoteChar">
    <w:name w:val="Intense Quote Char"/>
    <w:basedOn w:val="DefaultParagraphFont"/>
    <w:link w:val="IntenseQuote"/>
    <w:uiPriority w:val="30"/>
    <w:rsid w:val="00FC693F"/>
    <w:rPr>
      <w:b/>
      <w:bCs/>
      <w:i/>
      <w:iCs/>
      <w:color w:val="4F81BD" w:themeColor="accent1"/>
      <w:rFonts w:ascii="Arial" w:hAnsi="Arial" w:eastAsia="Arial" w:cs="Arial"/>
      <w:sz w:val="22"/>
      <w:szCs w:val="22"/>
    </w:rPr>
  </w:style>
  <w:style w:type="character" w:styleId="SubtleEmphasis">
    <w:name w:val="Subtle Emphasis"/>
    <w:basedOn w:val="DefaultParagraphFont"/>
    <w:uiPriority w:val="19"/>
    <w:qFormat/>
    <w:rsid w:val="00FC693F"/>
    <w:rPr>
      <w:i/>
      <w:iCs/>
      <w:color w:val="808080" w:themeColor="text1" w:themeTint="7F"/>
      <w:rFonts w:ascii="Arial" w:hAnsi="Arial" w:eastAsia="Arial" w:cs="Arial"/>
      <w:sz w:val="22"/>
      <w:szCs w:val="22"/>
    </w:rPr>
  </w:style>
  <w:style w:type="character" w:styleId="IntenseEmphasis">
    <w:name w:val="Intense Emphasis"/>
    <w:basedOn w:val="DefaultParagraphFont"/>
    <w:uiPriority w:val="21"/>
    <w:qFormat/>
    <w:rsid w:val="00FC693F"/>
    <w:rPr>
      <w:b/>
      <w:bCs/>
      <w:i/>
      <w:iCs/>
      <w:color w:val="4F81BD" w:themeColor="accent1"/>
      <w:rFonts w:ascii="Arial" w:hAnsi="Arial" w:eastAsia="Arial" w:cs="Arial"/>
      <w:sz w:val="22"/>
      <w:szCs w:val="22"/>
    </w:rPr>
  </w:style>
  <w:style w:type="character" w:styleId="SubtleReference">
    <w:name w:val="Subtle Reference"/>
    <w:basedOn w:val="DefaultParagraphFont"/>
    <w:uiPriority w:val="31"/>
    <w:qFormat/>
    <w:rsid w:val="00FC693F"/>
    <w:rPr>
      <w:smallCaps/>
      <w:color w:val="C0504D" w:themeColor="accent2"/>
      <w:u w:val="single"/>
      <w:rFonts w:ascii="Arial" w:hAnsi="Arial" w:eastAsia="Arial" w:cs="Arial"/>
      <w:sz w:val="22"/>
      <w:szCs w:val="22"/>
    </w:rPr>
  </w:style>
  <w:style w:type="character" w:styleId="IntenseReference">
    <w:name w:val="Intense Reference"/>
    <w:basedOn w:val="DefaultParagraphFont"/>
    <w:uiPriority w:val="32"/>
    <w:qFormat/>
    <w:rsid w:val="00FC693F"/>
    <w:rPr>
      <w:b/>
      <w:bCs/>
      <w:smallCaps/>
      <w:color w:val="C0504D" w:themeColor="accent2"/>
      <w:spacing w:val="5"/>
      <w:u w:val="single"/>
      <w:rFonts w:ascii="Arial" w:hAnsi="Arial" w:eastAsia="Arial" w:cs="Arial"/>
      <w:sz w:val="22"/>
      <w:szCs w:val="22"/>
    </w:rPr>
  </w:style>
  <w:style w:type="character" w:styleId="BookTitle">
    <w:name w:val="Book Title"/>
    <w:basedOn w:val="DefaultParagraphFont"/>
    <w:uiPriority w:val="33"/>
    <w:qFormat/>
    <w:rsid w:val="00FC693F"/>
    <w:rPr>
      <w:b/>
      <w:bCs/>
      <w:smallCaps/>
      <w:spacing w:val="5"/>
      <w:rFonts w:ascii="Arial" w:hAnsi="Arial" w:eastAsia="Arial" w:cs="Arial"/>
      <w:sz w:val="22"/>
      <w:szCs w:val="22"/>
    </w:rPr>
  </w:style>
  <w:style w:type="paragraph" w:styleId="TOCHeading">
    <w:rPr>
      <w:rFonts w:ascii="Arial" w:hAnsi="Arial" w:eastAsia="Arial" w:cs="Arial"/>
      <w:sz w:val="22"/>
      <w:szCs w:val="22"/>
    </w:rPr>
    <w:name w:val="TOC Heading"/>
    <w:basedOn w:val="Heading1"/>
    <w:next w:val="Normal"/>
    <w:uiPriority w:val="39"/>
    <w:semiHidden/>
    <w:unhideWhenUsed/>
    <w:qFormat/>
    <w:rsid w:val="00FC693F"/>
    <w:pPr>
      <w:outlineLvl w:val="9"/>
    </w:pPr>
  </w:style>
  <w:style w:type="table" w:styleId="TableGrid">
    <w:rPr>
      <w:rFonts w:ascii="Arial" w:hAnsi="Arial" w:eastAsia="Arial" w:cs="Arial"/>
      <w:sz w:val="22"/>
      <w:szCs w:val="22"/>
    </w:rPr>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Fonts w:ascii="Arial" w:hAnsi="Arial" w:eastAsia="Arial" w:cs="Arial"/>
      <w:sz w:val="22"/>
      <w:szCs w:val="22"/>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Fonts w:ascii="Arial" w:hAnsi="Arial" w:eastAsia="Arial" w:cs="Arial"/>
      <w:sz w:val="22"/>
      <w:szCs w:val="22"/>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Fonts w:ascii="Arial" w:hAnsi="Arial" w:eastAsia="Arial" w:cs="Arial"/>
      <w:sz w:val="22"/>
      <w:szCs w:val="22"/>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Fonts w:ascii="Arial" w:hAnsi="Arial" w:eastAsia="Arial" w:cs="Arial"/>
      <w:sz w:val="22"/>
      <w:szCs w:val="22"/>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Fonts w:ascii="Arial" w:hAnsi="Arial" w:eastAsia="Arial" w:cs="Arial"/>
      <w:sz w:val="22"/>
      <w:szCs w:val="22"/>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Fonts w:ascii="Arial" w:hAnsi="Arial" w:eastAsia="Arial" w:cs="Arial"/>
      <w:sz w:val="22"/>
      <w:szCs w:val="22"/>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Fonts w:ascii="Arial" w:hAnsi="Arial" w:eastAsia="Arial" w:cs="Arial"/>
      <w:sz w:val="22"/>
      <w:szCs w:val="22"/>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rPr>
      <w:rFonts w:ascii="Arial" w:hAnsi="Arial" w:eastAsia="Arial" w:cs="Arial"/>
      <w:sz w:val="22"/>
      <w:szCs w:val="22"/>
    </w:rPr>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rPr>
      <w:rFonts w:ascii="Arial" w:hAnsi="Arial" w:eastAsia="Arial" w:cs="Arial"/>
      <w:sz w:val="22"/>
      <w:szCs w:val="22"/>
    </w:rPr>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rPr>
      <w:rFonts w:ascii="Arial" w:hAnsi="Arial" w:eastAsia="Arial" w:cs="Arial"/>
      <w:sz w:val="22"/>
      <w:szCs w:val="22"/>
    </w:rPr>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rPr>
      <w:rFonts w:ascii="Arial" w:hAnsi="Arial" w:eastAsia="Arial" w:cs="Arial"/>
      <w:sz w:val="22"/>
      <w:szCs w:val="22"/>
    </w:rPr>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rPr>
      <w:rFonts w:ascii="Arial" w:hAnsi="Arial" w:eastAsia="Arial" w:cs="Arial"/>
      <w:sz w:val="22"/>
      <w:szCs w:val="22"/>
    </w:rPr>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rPr>
      <w:rFonts w:ascii="Arial" w:hAnsi="Arial" w:eastAsia="Arial" w:cs="Arial"/>
      <w:sz w:val="22"/>
      <w:szCs w:val="22"/>
    </w:rPr>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rPr>
      <w:rFonts w:ascii="Arial" w:hAnsi="Arial" w:eastAsia="Arial" w:cs="Arial"/>
      <w:sz w:val="22"/>
      <w:szCs w:val="22"/>
    </w:rPr>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rPr>
      <w:rFonts w:ascii="Arial" w:hAnsi="Arial" w:eastAsia="Arial" w:cs="Arial"/>
      <w:sz w:val="22"/>
      <w:szCs w:val="22"/>
    </w:rPr>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rPr>
      <w:rFonts w:ascii="Arial" w:hAnsi="Arial" w:eastAsia="Arial" w:cs="Arial"/>
      <w:sz w:val="22"/>
      <w:szCs w:val="22"/>
    </w:rPr>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rPr>
      <w:rFonts w:ascii="Arial" w:hAnsi="Arial" w:eastAsia="Arial" w:cs="Arial"/>
      <w:sz w:val="22"/>
      <w:szCs w:val="22"/>
    </w:rPr>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rPr>
      <w:rFonts w:ascii="Arial" w:hAnsi="Arial" w:eastAsia="Arial" w:cs="Arial"/>
      <w:sz w:val="22"/>
      <w:szCs w:val="22"/>
    </w:rPr>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rPr>
      <w:rFonts w:ascii="Arial" w:hAnsi="Arial" w:eastAsia="Arial" w:cs="Arial"/>
      <w:sz w:val="22"/>
      <w:szCs w:val="22"/>
    </w:rPr>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rPr>
      <w:rFonts w:ascii="Arial" w:hAnsi="Arial" w:eastAsia="Arial" w:cs="Arial"/>
      <w:sz w:val="22"/>
      <w:szCs w:val="22"/>
    </w:rPr>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rPr>
      <w:rFonts w:ascii="Arial" w:hAnsi="Arial" w:eastAsia="Arial" w:cs="Arial"/>
      <w:sz w:val="22"/>
      <w:szCs w:val="22"/>
    </w:rPr>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rPr>
      <w:rFonts w:ascii="Arial" w:hAnsi="Arial" w:eastAsia="Arial" w:cs="Arial"/>
      <w:sz w:val="22"/>
      <w:szCs w:val="22"/>
    </w:rPr>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rPr>
      <w:rFonts w:ascii="Arial" w:hAnsi="Arial" w:eastAsia="Arial" w:cs="Arial"/>
      <w:sz w:val="22"/>
      <w:szCs w:val="22"/>
    </w:rPr>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rPr>
      <w:rFonts w:ascii="Arial" w:hAnsi="Arial" w:eastAsia="Arial" w:cs="Arial"/>
      <w:sz w:val="22"/>
      <w:szCs w:val="22"/>
    </w:rPr>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rPr>
      <w:rFonts w:ascii="Arial" w:hAnsi="Arial" w:eastAsia="Arial" w:cs="Arial"/>
      <w:sz w:val="22"/>
      <w:szCs w:val="22"/>
    </w:rPr>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rPr>
      <w:rFonts w:ascii="Arial" w:hAnsi="Arial" w:eastAsia="Arial" w:cs="Arial"/>
      <w:sz w:val="22"/>
      <w:szCs w:val="22"/>
    </w:rPr>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rPr>
      <w:rFonts w:ascii="Arial" w:hAnsi="Arial" w:eastAsia="Arial" w:cs="Arial"/>
      <w:sz w:val="22"/>
      <w:szCs w:val="22"/>
    </w:rPr>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rPr>
      <w:rFonts w:ascii="Arial" w:hAnsi="Arial" w:eastAsia="Arial" w:cs="Arial"/>
      <w:sz w:val="22"/>
      <w:szCs w:val="22"/>
    </w:rPr>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rPr>
      <w:rFonts w:ascii="Arial" w:hAnsi="Arial" w:eastAsia="Arial" w:cs="Arial"/>
      <w:sz w:val="22"/>
      <w:szCs w:val="22"/>
    </w:rPr>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rPr>
      <w:rFonts w:ascii="Arial" w:hAnsi="Arial" w:eastAsia="Arial" w:cs="Arial"/>
      <w:sz w:val="22"/>
      <w:szCs w:val="22"/>
    </w:rPr>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rPr>
      <w:rFonts w:ascii="Arial" w:hAnsi="Arial" w:eastAsia="Arial" w:cs="Arial"/>
      <w:sz w:val="22"/>
      <w:szCs w:val="22"/>
    </w:rPr>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rPr>
      <w:rFonts w:ascii="Arial" w:hAnsi="Arial" w:eastAsia="Arial" w:cs="Arial"/>
      <w:sz w:val="22"/>
      <w:szCs w:val="22"/>
    </w:rPr>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rPr>
      <w:rFonts w:ascii="Arial" w:hAnsi="Arial" w:eastAsia="Arial" w:cs="Arial"/>
      <w:sz w:val="22"/>
      <w:szCs w:val="22"/>
    </w:rPr>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rPr>
      <w:rFonts w:ascii="Arial" w:hAnsi="Arial" w:eastAsia="Arial" w:cs="Arial"/>
      <w:sz w:val="22"/>
      <w:szCs w:val="22"/>
    </w:rPr>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rPr>
      <w:rFonts w:ascii="Arial" w:hAnsi="Arial" w:eastAsia="Arial" w:cs="Arial"/>
      <w:sz w:val="22"/>
      <w:szCs w:val="22"/>
    </w:rPr>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Fonts w:ascii="Arial" w:hAnsi="Arial" w:eastAsia="Arial" w:cs="Arial"/>
      <w:sz w:val="22"/>
      <w:szCs w:val="22"/>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Fonts w:ascii="Arial" w:hAnsi="Arial" w:eastAsia="Arial" w:cs="Arial"/>
      <w:sz w:val="22"/>
      <w:szCs w:val="22"/>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Fonts w:ascii="Arial" w:hAnsi="Arial" w:eastAsia="Arial" w:cs="Arial"/>
      <w:sz w:val="22"/>
      <w:szCs w:val="22"/>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Fonts w:ascii="Arial" w:hAnsi="Arial" w:eastAsia="Arial" w:cs="Arial"/>
      <w:sz w:val="22"/>
      <w:szCs w:val="22"/>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Fonts w:ascii="Arial" w:hAnsi="Arial" w:eastAsia="Arial" w:cs="Arial"/>
      <w:sz w:val="22"/>
      <w:szCs w:val="22"/>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Fonts w:ascii="Arial" w:hAnsi="Arial" w:eastAsia="Arial" w:cs="Arial"/>
      <w:sz w:val="22"/>
      <w:szCs w:val="22"/>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Fonts w:ascii="Arial" w:hAnsi="Arial" w:eastAsia="Arial" w:cs="Arial"/>
      <w:sz w:val="22"/>
      <w:szCs w:val="22"/>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color w:val="000000" w:themeColor="text1"/>
      <w:rFonts w:ascii="Arial" w:hAnsi="Arial" w:eastAsia="Arial" w:cs="Arial"/>
      <w:sz w:val="22"/>
      <w:szCs w:val="22"/>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color w:val="000000" w:themeColor="text1"/>
      <w:rFonts w:ascii="Arial" w:hAnsi="Arial" w:eastAsia="Arial" w:cs="Arial"/>
      <w:sz w:val="22"/>
      <w:szCs w:val="22"/>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color w:val="000000" w:themeColor="text1"/>
      <w:rFonts w:ascii="Arial" w:hAnsi="Arial" w:eastAsia="Arial" w:cs="Arial"/>
      <w:sz w:val="22"/>
      <w:szCs w:val="22"/>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color w:val="000000" w:themeColor="text1"/>
      <w:rFonts w:ascii="Arial" w:hAnsi="Arial" w:eastAsia="Arial" w:cs="Arial"/>
      <w:sz w:val="22"/>
      <w:szCs w:val="22"/>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color w:val="000000" w:themeColor="text1"/>
      <w:rFonts w:ascii="Arial" w:hAnsi="Arial" w:eastAsia="Arial" w:cs="Arial"/>
      <w:sz w:val="22"/>
      <w:szCs w:val="22"/>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color w:val="000000" w:themeColor="text1"/>
      <w:rFonts w:ascii="Arial" w:hAnsi="Arial" w:eastAsia="Arial" w:cs="Arial"/>
      <w:sz w:val="22"/>
      <w:szCs w:val="22"/>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color w:val="000000" w:themeColor="text1"/>
      <w:rFonts w:ascii="Arial" w:hAnsi="Arial" w:eastAsia="Arial" w:cs="Arial"/>
      <w:sz w:val="22"/>
      <w:szCs w:val="22"/>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rPr>
      <w:rFonts w:ascii="Arial" w:hAnsi="Arial" w:eastAsia="Arial" w:cs="Arial"/>
      <w:sz w:val="22"/>
      <w:szCs w:val="22"/>
    </w:rPr>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rPr>
      <w:rFonts w:ascii="Arial" w:hAnsi="Arial" w:eastAsia="Arial" w:cs="Arial"/>
      <w:sz w:val="22"/>
      <w:szCs w:val="22"/>
    </w:rPr>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rPr>
      <w:rFonts w:ascii="Arial" w:hAnsi="Arial" w:eastAsia="Arial" w:cs="Arial"/>
      <w:sz w:val="22"/>
      <w:szCs w:val="22"/>
    </w:rPr>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rPr>
      <w:rFonts w:ascii="Arial" w:hAnsi="Arial" w:eastAsia="Arial" w:cs="Arial"/>
      <w:sz w:val="22"/>
      <w:szCs w:val="22"/>
    </w:rPr>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rPr>
      <w:rFonts w:ascii="Arial" w:hAnsi="Arial" w:eastAsia="Arial" w:cs="Arial"/>
      <w:sz w:val="22"/>
      <w:szCs w:val="22"/>
    </w:rPr>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rPr>
      <w:rFonts w:ascii="Arial" w:hAnsi="Arial" w:eastAsia="Arial" w:cs="Arial"/>
      <w:sz w:val="22"/>
      <w:szCs w:val="22"/>
    </w:rPr>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rPr>
      <w:rFonts w:ascii="Arial" w:hAnsi="Arial" w:eastAsia="Arial" w:cs="Arial"/>
      <w:sz w:val="22"/>
      <w:szCs w:val="22"/>
    </w:rPr>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color w:val="000000" w:themeColor="text1"/>
      <w:rFonts w:ascii="Arial" w:hAnsi="Arial" w:eastAsia="Arial" w:cs="Arial"/>
      <w:sz w:val="22"/>
      <w:szCs w:val="22"/>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color w:val="000000" w:themeColor="text1"/>
      <w:rFonts w:ascii="Arial" w:hAnsi="Arial" w:eastAsia="Arial" w:cs="Arial"/>
      <w:sz w:val="22"/>
      <w:szCs w:val="22"/>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color w:val="000000" w:themeColor="text1"/>
      <w:rFonts w:ascii="Arial" w:hAnsi="Arial" w:eastAsia="Arial" w:cs="Arial"/>
      <w:sz w:val="22"/>
      <w:szCs w:val="22"/>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color w:val="000000" w:themeColor="text1"/>
      <w:rFonts w:ascii="Arial" w:hAnsi="Arial" w:eastAsia="Arial" w:cs="Arial"/>
      <w:sz w:val="22"/>
      <w:szCs w:val="22"/>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color w:val="000000" w:themeColor="text1"/>
      <w:rFonts w:ascii="Arial" w:hAnsi="Arial" w:eastAsia="Arial" w:cs="Arial"/>
      <w:sz w:val="22"/>
      <w:szCs w:val="22"/>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color w:val="000000" w:themeColor="text1"/>
      <w:rFonts w:ascii="Arial" w:hAnsi="Arial" w:eastAsia="Arial" w:cs="Arial"/>
      <w:sz w:val="22"/>
      <w:szCs w:val="22"/>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color w:val="000000" w:themeColor="text1"/>
      <w:rFonts w:ascii="Arial" w:hAnsi="Arial" w:eastAsia="Arial" w:cs="Arial"/>
      <w:sz w:val="22"/>
      <w:szCs w:val="22"/>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rPr>
      <w:rFonts w:ascii="Arial" w:hAnsi="Arial" w:eastAsia="Arial" w:cs="Arial"/>
      <w:sz w:val="22"/>
      <w:szCs w:val="22"/>
    </w:rPr>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rPr>
      <w:rFonts w:ascii="Arial" w:hAnsi="Arial" w:eastAsia="Arial" w:cs="Arial"/>
      <w:sz w:val="22"/>
      <w:szCs w:val="22"/>
    </w:rPr>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rPr>
      <w:rFonts w:ascii="Arial" w:hAnsi="Arial" w:eastAsia="Arial" w:cs="Arial"/>
      <w:sz w:val="22"/>
      <w:szCs w:val="22"/>
    </w:rPr>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rPr>
      <w:rFonts w:ascii="Arial" w:hAnsi="Arial" w:eastAsia="Arial" w:cs="Arial"/>
      <w:sz w:val="22"/>
      <w:szCs w:val="22"/>
    </w:rPr>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rPr>
      <w:rFonts w:ascii="Arial" w:hAnsi="Arial" w:eastAsia="Arial" w:cs="Arial"/>
      <w:sz w:val="22"/>
      <w:szCs w:val="22"/>
    </w:rPr>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rPr>
      <w:rFonts w:ascii="Arial" w:hAnsi="Arial" w:eastAsia="Arial" w:cs="Arial"/>
      <w:sz w:val="22"/>
      <w:szCs w:val="22"/>
    </w:rPr>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rPr>
      <w:rFonts w:ascii="Arial" w:hAnsi="Arial" w:eastAsia="Arial" w:cs="Arial"/>
      <w:sz w:val="22"/>
      <w:szCs w:val="22"/>
    </w:rPr>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Fonts w:ascii="Arial" w:hAnsi="Arial" w:eastAsia="Arial" w:cs="Arial"/>
      <w:sz w:val="22"/>
      <w:szCs w:val="22"/>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Fonts w:ascii="Arial" w:hAnsi="Arial" w:eastAsia="Arial" w:cs="Arial"/>
      <w:sz w:val="22"/>
      <w:szCs w:val="22"/>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Fonts w:ascii="Arial" w:hAnsi="Arial" w:eastAsia="Arial" w:cs="Arial"/>
      <w:sz w:val="22"/>
      <w:szCs w:val="22"/>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Fonts w:ascii="Arial" w:hAnsi="Arial" w:eastAsia="Arial" w:cs="Arial"/>
      <w:sz w:val="22"/>
      <w:szCs w:val="22"/>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Fonts w:ascii="Arial" w:hAnsi="Arial" w:eastAsia="Arial" w:cs="Arial"/>
      <w:sz w:val="22"/>
      <w:szCs w:val="22"/>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Fonts w:ascii="Arial" w:hAnsi="Arial" w:eastAsia="Arial" w:cs="Arial"/>
      <w:sz w:val="22"/>
      <w:szCs w:val="22"/>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Fonts w:ascii="Arial" w:hAnsi="Arial" w:eastAsia="Arial" w:cs="Arial"/>
      <w:sz w:val="22"/>
      <w:szCs w:val="22"/>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Fonts w:ascii="Arial" w:hAnsi="Arial" w:eastAsia="Arial" w:cs="Arial"/>
      <w:sz w:val="22"/>
      <w:szCs w:val="22"/>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Fonts w:ascii="Arial" w:hAnsi="Arial" w:eastAsia="Arial" w:cs="Arial"/>
      <w:sz w:val="22"/>
      <w:szCs w:val="22"/>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Fonts w:ascii="Arial" w:hAnsi="Arial" w:eastAsia="Arial" w:cs="Arial"/>
      <w:sz w:val="22"/>
      <w:szCs w:val="22"/>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Fonts w:ascii="Arial" w:hAnsi="Arial" w:eastAsia="Arial" w:cs="Arial"/>
      <w:sz w:val="22"/>
      <w:szCs w:val="22"/>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Fonts w:ascii="Arial" w:hAnsi="Arial" w:eastAsia="Arial" w:cs="Arial"/>
      <w:sz w:val="22"/>
      <w:szCs w:val="22"/>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Fonts w:ascii="Arial" w:hAnsi="Arial" w:eastAsia="Arial" w:cs="Arial"/>
      <w:sz w:val="22"/>
      <w:szCs w:val="22"/>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Fonts w:ascii="Arial" w:hAnsi="Arial" w:eastAsia="Arial" w:cs="Arial"/>
      <w:sz w:val="22"/>
      <w:szCs w:val="22"/>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Fonts w:ascii="Arial" w:hAnsi="Arial" w:eastAsia="Arial" w:cs="Arial"/>
      <w:sz w:val="22"/>
      <w:szCs w:val="22"/>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Fonts w:ascii="Arial" w:hAnsi="Arial" w:eastAsia="Arial" w:cs="Arial"/>
      <w:sz w:val="22"/>
      <w:szCs w:val="22"/>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Fonts w:ascii="Arial" w:hAnsi="Arial" w:eastAsia="Arial" w:cs="Arial"/>
      <w:sz w:val="22"/>
      <w:szCs w:val="22"/>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Fonts w:ascii="Arial" w:hAnsi="Arial" w:eastAsia="Arial" w:cs="Arial"/>
      <w:sz w:val="22"/>
      <w:szCs w:val="22"/>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Fonts w:ascii="Arial" w:hAnsi="Arial" w:eastAsia="Arial" w:cs="Arial"/>
      <w:sz w:val="22"/>
      <w:szCs w:val="22"/>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Fonts w:ascii="Arial" w:hAnsi="Arial" w:eastAsia="Arial" w:cs="Arial"/>
      <w:sz w:val="22"/>
      <w:szCs w:val="22"/>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Fonts w:ascii="Arial" w:hAnsi="Arial" w:eastAsia="Arial" w:cs="Arial"/>
      <w:sz w:val="22"/>
      <w:szCs w:val="22"/>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Fonts w:ascii="Arial" w:hAnsi="Arial" w:eastAsia="Arial" w:cs="Arial"/>
      <w:sz w:val="22"/>
      <w:szCs w:val="22"/>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Fonts w:ascii="Arial" w:hAnsi="Arial" w:eastAsia="Arial" w:cs="Arial"/>
      <w:sz w:val="22"/>
      <w:szCs w:val="22"/>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Fonts w:ascii="Arial" w:hAnsi="Arial" w:eastAsia="Arial" w:cs="Arial"/>
      <w:sz w:val="22"/>
      <w:szCs w:val="22"/>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Fonts w:ascii="Arial" w:hAnsi="Arial" w:eastAsia="Arial" w:cs="Arial"/>
      <w:sz w:val="22"/>
      <w:szCs w:val="22"/>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Fonts w:ascii="Arial" w:hAnsi="Arial" w:eastAsia="Arial" w:cs="Arial"/>
      <w:sz w:val="22"/>
      <w:szCs w:val="22"/>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Fonts w:ascii="Arial" w:hAnsi="Arial" w:eastAsia="Arial" w:cs="Arial"/>
      <w:sz w:val="22"/>
      <w:szCs w:val="22"/>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Fonts w:ascii="Arial" w:hAnsi="Arial" w:eastAsia="Arial" w:cs="Arial"/>
      <w:sz w:val="22"/>
      <w:szCs w:val="22"/>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 Id="rId12" Type="http://schemas.openxmlformats.org/officeDocument/2006/relationships/header" Target="header2.xml"/><Relationship Id="rId13" Type="http://schemas.openxmlformats.org/officeDocument/2006/relationships/footer" Target="footer2.xml"/><Relationship Id="rId14" Type="http://schemas.openxmlformats.org/officeDocument/2006/relationships/header" Target="header3.xml"/><Relationship Id="rId15"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Application>Microsoft Office Word</Application>
  <DocSecurity>0</DocSecurity>
  <ScaleCrop>false</ScaleCrop>
  <Manager/>
  <Company/>
  <LinksUpToDate>false</LinksUpToDate>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Part 2 Concept Compression Map - Issue 1</dc:title>
  <dc:subject>P2-2A2B-SD01-CONCEPT-COMPRESSION-MAP; final Part 2 support release; ten-paper Issue 1 baseline</dc:subject>
  <dc:creator>OpenAI</dc:creator>
  <cp:keywords>General Organisation Theory; Volume 1; Part 2; Issue 1; P2-2A2B-SD01-CONCEPT-COMPRESSION-MAP</cp:keywords>
  <dc:description>Final Issue 1 support; secondary to canonical papers. Exact paper and support SHA-256 locks are recorded in Part_2_Issue_1_Support_Manifest.json. Historical source records and explicit scholarly limits are retained.</dc:description>
  <cp:lastModifiedBy/>
  <cp:revision>3</cp:revision>
  <dcterms:created xsi:type="dcterms:W3CDTF">2013-12-23T23:15:00Z</dcterms:created>
  <dcterms:modified xsi:type="dcterms:W3CDTF">2026-09-23T14:00:00Z</dcterms:modified>
  <cp:category>Issue 1 support release</cp:category>
  <cp:contentStatus>Issue 1</cp:contentStatus>
  <cp:version>Issue 1</cp:version>
</cp:coreProperties>
</file>